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val="en-US" w:eastAsia="zh-CN"/>
        </w:rPr>
        <w:t>2023-2024（下）</w:t>
      </w:r>
      <w:r>
        <w:rPr>
          <w:rFonts w:hint="eastAsia" w:ascii="宋体" w:hAnsi="宋体"/>
          <w:b/>
          <w:bCs/>
          <w:sz w:val="24"/>
          <w:lang w:eastAsia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sz w:val="24"/>
          <w:lang w:eastAsia="zh-CN"/>
        </w:rPr>
        <w:t>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黄亮</w:t>
      </w:r>
      <w:r>
        <w:rPr>
          <w:rFonts w:hint="eastAsia" w:ascii="宋体" w:hAnsi="宋体"/>
          <w:b/>
          <w:bCs/>
          <w:sz w:val="24"/>
        </w:rPr>
        <w:t xml:space="preserve">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</w:p>
    <w:tbl>
      <w:tblPr>
        <w:tblStyle w:val="1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92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许炜、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陈景键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、刘星、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市检卷评讲1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散文复习3    限时训练1 古诗文试卷讲评1   限时训练讲评1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上一周主要进行市检考试，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学生能掌握课内知识点，掌握阅读方法。但理解性默写掌握还不足。市检考试反映出学生在现代文阅读欣赏、古诗文阅读理解方面还存在不足。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语言建构与运用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积累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文中相关的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尤其是古诗文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1E1E1E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以及语用题中涉及的知识。</w:t>
            </w:r>
          </w:p>
          <w:p>
            <w:pPr>
              <w:pStyle w:val="2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思维发展与提升：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调动情感体验与思考，分析手法等，体会作品艺术表现力。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审美鉴赏创造：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鉴赏出色的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说理、叙述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艺术，品味辩驳技巧和修辞方法。体味并分析文章在论证说理方面的独到之处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文化传承与理解：使学生感受到民族文化的博大精深，形成文化自觉和自信的态度。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left"/>
              <w:textAlignment w:val="auto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把握散文写作技巧的特点，掌握古诗文结合语境理解内容，找准得分点，准确翻译文言语句。学习从语言、形象、主题等角度欣赏作品。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pStyle w:val="13"/>
              <w:widowControl/>
              <w:numPr>
                <w:ilvl w:val="0"/>
                <w:numId w:val="2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讲评市检作文</w:t>
            </w:r>
          </w:p>
          <w:p>
            <w:pPr>
              <w:pStyle w:val="13"/>
              <w:widowControl/>
              <w:numPr>
                <w:ilvl w:val="0"/>
                <w:numId w:val="3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教师介绍阅卷情况。</w:t>
            </w:r>
          </w:p>
          <w:p>
            <w:pPr>
              <w:pStyle w:val="13"/>
              <w:widowControl/>
              <w:numPr>
                <w:ilvl w:val="0"/>
                <w:numId w:val="3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学生交流对作文材料及任务的理解</w:t>
            </w:r>
          </w:p>
          <w:p>
            <w:pPr>
              <w:spacing w:line="276" w:lineRule="auto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三、学生对照评分要求及样卷讨论修改作文。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1.基本围绕关键词行文，议论文文体特色不鲜明，大量论据堆砌，议论简单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结构完整，字数达标，可评</w:t>
            </w:r>
            <w:r>
              <w:rPr>
                <w:rFonts w:ascii="宋体" w:hAnsi="宋体" w:eastAsia="宋体"/>
                <w:sz w:val="21"/>
                <w:szCs w:val="21"/>
              </w:rPr>
              <w:t>36到40分。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2.浅表化思维只是简单化，片面化写“勇敢出发”或“到达”，内容单薄，议论流于浅层，未明确触及二者关系。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可以评</w:t>
            </w:r>
            <w:r>
              <w:rPr>
                <w:rFonts w:ascii="宋体" w:hAnsi="宋体" w:eastAsia="宋体"/>
                <w:sz w:val="21"/>
                <w:szCs w:val="21"/>
              </w:rPr>
              <w:t>41到44分。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能</w:t>
            </w:r>
            <w:r>
              <w:rPr>
                <w:rFonts w:ascii="宋体" w:hAnsi="宋体" w:eastAsia="宋体"/>
                <w:sz w:val="21"/>
                <w:szCs w:val="21"/>
              </w:rPr>
              <w:t>思考材料中出发和到达两个概念的关系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论据较为丰富。但与作文材料提示与结合不够前紧密，议论流于浅层。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或是概念阐述不是很到位，但观点鲜明，结构完整，论述有章法，可以评</w:t>
            </w:r>
            <w:r>
              <w:rPr>
                <w:rFonts w:ascii="宋体" w:hAnsi="宋体" w:eastAsia="宋体"/>
                <w:sz w:val="21"/>
                <w:szCs w:val="21"/>
              </w:rPr>
              <w:t>45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到</w:t>
            </w:r>
            <w:r>
              <w:rPr>
                <w:rFonts w:ascii="宋体" w:hAnsi="宋体" w:eastAsia="宋体"/>
                <w:sz w:val="21"/>
                <w:szCs w:val="21"/>
              </w:rPr>
              <w:t>47。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4.具有较好的思辨能力，标题契合作文题意，扣住作文材料展开议论。论证逐层深入，文章框架比较清晰，较有文采。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可以评</w:t>
            </w:r>
            <w:r>
              <w:rPr>
                <w:rFonts w:ascii="宋体" w:hAnsi="宋体" w:eastAsia="宋体"/>
                <w:sz w:val="21"/>
                <w:szCs w:val="21"/>
              </w:rPr>
              <w:t>48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到</w:t>
            </w:r>
            <w:r>
              <w:rPr>
                <w:rFonts w:ascii="宋体" w:hAnsi="宋体" w:eastAsia="宋体"/>
                <w:sz w:val="21"/>
                <w:szCs w:val="21"/>
              </w:rPr>
              <w:t>50。</w:t>
            </w:r>
          </w:p>
          <w:p>
            <w:pPr>
              <w:spacing w:line="276" w:lineRule="auto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5.在第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点的基础上，做到观点独到，不人云亦云。文章框架清晰，对于二者关系有清晰表达，例如“出发是为了更好的到达，到达是新一轮的出发”，素材精当、新颖、丰富，表达有文采，建议评51-53。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点的基础上，还能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紧扣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关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键指向如“对新道路探索”“阶段性总结”来进行举例论证，深掘“出发”与“到达”这两个关键概念的特性，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针对性写作，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建议评分54-55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四、作业：修改作文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13"/>
              <w:widowControl/>
              <w:numPr>
                <w:ilvl w:val="0"/>
                <w:numId w:val="2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散文复习</w:t>
            </w:r>
          </w:p>
          <w:p>
            <w:pPr>
              <w:pStyle w:val="13"/>
              <w:widowControl/>
              <w:numPr>
                <w:ilvl w:val="0"/>
                <w:numId w:val="4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命题解析：高考散文篇幅、内容、语言等。主观题常见题型</w:t>
            </w:r>
          </w:p>
          <w:p>
            <w:pPr>
              <w:pStyle w:val="13"/>
              <w:widowControl/>
              <w:numPr>
                <w:ilvl w:val="0"/>
                <w:numId w:val="4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教材内的散文篇目（详见复习用书）</w:t>
            </w:r>
          </w:p>
          <w:p>
            <w:pPr>
              <w:pStyle w:val="13"/>
              <w:widowControl/>
              <w:numPr>
                <w:ilvl w:val="0"/>
                <w:numId w:val="4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备考方略：（1.熟悉分类，因文施策2.熟悉真题，明确考向3.培养三个意识：阅读意识、结构意识、语境意识）</w:t>
            </w:r>
          </w:p>
          <w:p>
            <w:pPr>
              <w:pStyle w:val="13"/>
              <w:widowControl/>
              <w:numPr>
                <w:ilvl w:val="0"/>
                <w:numId w:val="4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训练、讲评2023全国甲卷</w:t>
            </w:r>
          </w:p>
          <w:p>
            <w:pPr>
              <w:pStyle w:val="13"/>
              <w:widowControl/>
              <w:numPr>
                <w:ilvl w:val="0"/>
                <w:numId w:val="4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学生反思、总结。作业布置《即学即练》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hd w:val="clear" w:color="auto"/>
              <w:spacing w:beforeAutospacing="0" w:afterAutospacing="0" w:line="240" w:lineRule="auto"/>
              <w:ind w:firstLine="1470" w:firstLineChars="700"/>
              <w:jc w:val="both"/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散文复习（理解重要词句的含意）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学生阅读散文必备知识，提出质疑。</w:t>
            </w:r>
            <w:r>
              <w:rPr>
                <w:sz w:val="24"/>
                <w:szCs w:val="24"/>
              </w:rPr>
              <w:t>散文中的“重要词语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</w:rPr>
              <w:t>“重要语句”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、［答题指导］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1.“三联一依”理解词语含义2.“多看多联”理解句子含意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第一步，“多看”，理解表层意。（1）看句中关键词。（2）看句子所指对象。（3）看句子是否运用某种技巧（尤其关注是否使用修辞手法）。在此基础上，初步感知句子大致的意思。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第二步，“多联”，挖掘深层意。（1）联系该句位置特点挖掘：①对于段首、文首统领句，可关注下文语段；②对于段末、文末总结句，可关注上文语段；③对于中间衔接句，可关注上下文。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（2）联系相邻句子及文中关键语句去体会。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（3）联系段落的中心去理解。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（4）联系背景去思考。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（5）联系主旨进行总结。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3.答题模式一：表层意+语境意+隐含意。即“由表及里”，先理解表层意,再分析语境意,最后挖掘词句的隐含意。</w:t>
            </w:r>
          </w:p>
          <w:p>
            <w:pPr>
              <w:ind w:firstLine="440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答题模式二：手法+内容（本句意思或本句所写的内容）+效果（情感、形象、主旨）。即本句采用……手法，写出了……内容，表达了……情感（主旨）；或写出了人物（景物）……特点。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三、训练及讲评《我远来是为的这一湖水》</w:t>
            </w:r>
          </w:p>
          <w:p>
            <w:pPr>
              <w:pStyle w:val="13"/>
              <w:widowControl/>
              <w:numPr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四、总结、反思。</w:t>
            </w: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作业布置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《即学即练》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260" w:firstLineChars="6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第四课时    散文复习概括内容要点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一、学生反馈散文复习情况。</w:t>
            </w: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、学生阅读概括文章内容要点分类必备知识</w:t>
            </w:r>
          </w:p>
          <w:p>
            <w:pP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三、常见的设问方式有：（1）这篇文章情真意切，“××”的情感状态更是一再呈现。请分析这种××感的由来。（2）对于××的生活，“我”都放在××中来叙述，且有不同的感受。请对此加以分析。（3）作者访问××，为什么会联想到××?请谈谈你的看法。（4）作者对××的叙述很有层次感，请结合作品具体分析。</w:t>
            </w:r>
          </w:p>
          <w:p>
            <w:pPr>
              <w:pStyle w:val="5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四、［答题指导］</w:t>
            </w:r>
          </w:p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五、学生阅读并讨论《记忆里的光》：作者对儿时看火车经历的叙述很有层次感，请结合作品具体分析。</w:t>
            </w:r>
          </w:p>
          <w:p>
            <w:pPr>
              <w:pStyle w:val="13"/>
              <w:widowControl/>
              <w:numPr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六、总结、反思。作业布置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《即学即练》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050" w:firstLineChars="500"/>
              <w:jc w:val="both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五课时 限时训练：周测卷二（省关键问题指导二）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050" w:firstLineChars="5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第六课时  古诗文试卷讲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评</w:t>
            </w:r>
          </w:p>
          <w:p>
            <w:pPr>
              <w:pStyle w:val="13"/>
              <w:widowControl/>
              <w:numPr>
                <w:ilvl w:val="0"/>
                <w:numId w:val="6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学生订正答案。</w:t>
            </w:r>
          </w:p>
          <w:p>
            <w:pPr>
              <w:pStyle w:val="13"/>
              <w:widowControl/>
              <w:numPr>
                <w:ilvl w:val="0"/>
                <w:numId w:val="6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学生提出质疑，小组讨论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韩非书A云夫子B善之C引D以张本E然F后难之G岂有H不似哉？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 诗的尾联提到魏了翁的名言：“不欲于卖花担上看桃李，须树头枝底方见活精神也。”结合本诗主题，谈谈你对这句话的理解。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3.王国维说：“以我观物，故物皆著我之色彩。”这一观点在本诗中是如何得到印证的？请简要分析。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4.词的结尾两句被后代评论家称赞为“绝妙”，请简要分析其妙处。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三、教师总结审题及思考的注意点，讲评重点题。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default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四、总结，布置作业。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ind w:firstLine="1050" w:firstLineChars="500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第七课时    限时训练讲评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一、学生订正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二、学生提出质疑，师生讨论总结。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请简要说明章学诚如何对传统的经、史、子、集四部之学进行“汇通”。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shd w:val="clear" w:color="auto"/>
              <w:spacing w:beforeAutospacing="0" w:afterAutospacing="0"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作者从哪些角度阐述了章学诚《文史通义》的学术价值？请根据文本概括。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小说借酒宴这一生活场景呈现了哪些教育观念？请简要概括。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小说以对话和谈论来推动情节的发展，有怎样的艺术效果？请结合小说简要分析。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《百战奇略》根据李存审制胜的措施，总结出了当步兵面对骑兵时应注意哪些作战原则和方法？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这首诗谈了哪些学习的道理？请结合诗歌内容简要分析。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三、教师讲评重点题目，强调审题思考作答的注意点。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四、作业布置。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10" w:firstLineChars="1100"/>
              <w:textAlignment w:val="auto"/>
              <w:rPr>
                <w:rFonts w:hint="eastAsia" w:ascii="宋体" w:hAnsi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cs="Times New Roman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完成校本作业及《核按钮》中的相关练习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BEFC7"/>
    <w:multiLevelType w:val="singleLevel"/>
    <w:tmpl w:val="AEDBEF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63690E"/>
    <w:multiLevelType w:val="singleLevel"/>
    <w:tmpl w:val="CF63690E"/>
    <w:lvl w:ilvl="0" w:tentative="0">
      <w:start w:val="1"/>
      <w:numFmt w:val="chineseCounting"/>
      <w:suff w:val="space"/>
      <w:lvlText w:val="第%1课时"/>
      <w:lvlJc w:val="left"/>
      <w:rPr>
        <w:rFonts w:hint="eastAsia"/>
      </w:rPr>
    </w:lvl>
  </w:abstractNum>
  <w:abstractNum w:abstractNumId="2">
    <w:nsid w:val="E9A63445"/>
    <w:multiLevelType w:val="singleLevel"/>
    <w:tmpl w:val="E9A634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3A7DA13"/>
    <w:multiLevelType w:val="singleLevel"/>
    <w:tmpl w:val="13A7D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0C02242"/>
    <w:multiLevelType w:val="singleLevel"/>
    <w:tmpl w:val="20C022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4F4ABB25"/>
    <w:multiLevelType w:val="singleLevel"/>
    <w:tmpl w:val="4F4ABB25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DE3ZjFmMDYwZjU2MzgzODU5MzBmMTgwMDFlZWEifQ=="/>
  </w:docVars>
  <w:rsids>
    <w:rsidRoot w:val="71502C78"/>
    <w:rsid w:val="00CB653A"/>
    <w:rsid w:val="027605D2"/>
    <w:rsid w:val="03EA1389"/>
    <w:rsid w:val="06B87E0C"/>
    <w:rsid w:val="08426E5F"/>
    <w:rsid w:val="0B165F20"/>
    <w:rsid w:val="0C6333C7"/>
    <w:rsid w:val="0C9F186A"/>
    <w:rsid w:val="0CF835CA"/>
    <w:rsid w:val="0E5E75A3"/>
    <w:rsid w:val="0FF07C03"/>
    <w:rsid w:val="11655AEE"/>
    <w:rsid w:val="11FD007D"/>
    <w:rsid w:val="125C77B3"/>
    <w:rsid w:val="140C7E56"/>
    <w:rsid w:val="149C3C09"/>
    <w:rsid w:val="15B9430A"/>
    <w:rsid w:val="19B203FA"/>
    <w:rsid w:val="1B3919A8"/>
    <w:rsid w:val="1F38098A"/>
    <w:rsid w:val="24A57348"/>
    <w:rsid w:val="24DB705A"/>
    <w:rsid w:val="27037C6F"/>
    <w:rsid w:val="28960169"/>
    <w:rsid w:val="2B51626A"/>
    <w:rsid w:val="2B81777C"/>
    <w:rsid w:val="2BE973BE"/>
    <w:rsid w:val="2EF51769"/>
    <w:rsid w:val="31B74843"/>
    <w:rsid w:val="33114B41"/>
    <w:rsid w:val="345B262C"/>
    <w:rsid w:val="38164B95"/>
    <w:rsid w:val="3A78240D"/>
    <w:rsid w:val="3B7D1ABE"/>
    <w:rsid w:val="3CFB3B5D"/>
    <w:rsid w:val="414D1465"/>
    <w:rsid w:val="435330BE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E913B70"/>
    <w:rsid w:val="60AF00DC"/>
    <w:rsid w:val="630C2BBF"/>
    <w:rsid w:val="64FB4FB9"/>
    <w:rsid w:val="650364E1"/>
    <w:rsid w:val="6BF92F65"/>
    <w:rsid w:val="6F951527"/>
    <w:rsid w:val="71502C78"/>
    <w:rsid w:val="716714CA"/>
    <w:rsid w:val="71D6021A"/>
    <w:rsid w:val="733314EA"/>
    <w:rsid w:val="73B2191C"/>
    <w:rsid w:val="74263A0E"/>
    <w:rsid w:val="75632E5C"/>
    <w:rsid w:val="757562BF"/>
    <w:rsid w:val="76067D5D"/>
    <w:rsid w:val="765975BC"/>
    <w:rsid w:val="77533083"/>
    <w:rsid w:val="77626DFA"/>
    <w:rsid w:val="78452A60"/>
    <w:rsid w:val="7C7235FA"/>
    <w:rsid w:val="7C92252D"/>
    <w:rsid w:val="7E3A149D"/>
    <w:rsid w:val="7EAB3A22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next w:val="1"/>
    <w:semiHidden/>
    <w:unhideWhenUsed/>
    <w:qFormat/>
    <w:uiPriority w:val="9"/>
    <w:pPr>
      <w:jc w:val="center"/>
      <w:outlineLvl w:val="3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4">
    <w:name w:val="heading 5"/>
    <w:next w:val="1"/>
    <w:semiHidden/>
    <w:unhideWhenUsed/>
    <w:qFormat/>
    <w:uiPriority w:val="9"/>
    <w:pPr>
      <w:jc w:val="left"/>
      <w:outlineLvl w:val="4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5">
    <w:name w:val="heading 6"/>
    <w:next w:val="1"/>
    <w:semiHidden/>
    <w:unhideWhenUsed/>
    <w:qFormat/>
    <w:uiPriority w:val="9"/>
    <w:pPr>
      <w:jc w:val="left"/>
      <w:outlineLvl w:val="5"/>
    </w:pPr>
    <w:rPr>
      <w:rFonts w:ascii="Times New Roman" w:eastAsia="Songti SC" w:hAnsiTheme="minorHAnsi" w:cstheme="minorBidi"/>
      <w:b/>
      <w:bCs/>
      <w:sz w:val="28"/>
      <w:szCs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7">
    <w:name w:val="Body Text"/>
    <w:basedOn w:val="1"/>
    <w:qFormat/>
    <w:uiPriority w:val="0"/>
    <w:pPr>
      <w:spacing w:before="100" w:beforeAutospacing="1" w:after="120"/>
    </w:pPr>
  </w:style>
  <w:style w:type="paragraph" w:styleId="8">
    <w:name w:val="toc 5"/>
    <w:next w:val="1"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9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4">
    <w:name w:val="Title"/>
    <w:basedOn w:val="1"/>
    <w:next w:val="1"/>
    <w:qFormat/>
    <w:uiPriority w:val="1"/>
    <w:pPr>
      <w:spacing w:before="47"/>
      <w:ind w:left="1559" w:right="1774"/>
      <w:jc w:val="center"/>
    </w:pPr>
    <w:rPr>
      <w:rFonts w:ascii="楷体" w:hAnsi="楷体" w:eastAsia="楷体" w:cs="楷体"/>
      <w:b/>
      <w:bCs/>
      <w:sz w:val="28"/>
      <w:szCs w:val="28"/>
    </w:rPr>
  </w:style>
  <w:style w:type="table" w:styleId="16">
    <w:name w:val="Table Grid"/>
    <w:basedOn w:val="1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Hyperlink"/>
    <w:basedOn w:val="17"/>
    <w:qFormat/>
    <w:uiPriority w:val="0"/>
    <w:rPr>
      <w:color w:val="000000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1">
    <w:name w:val="小标题"/>
    <w:basedOn w:val="2"/>
    <w:next w:val="1"/>
    <w:autoRedefine/>
    <w:qFormat/>
    <w:uiPriority w:val="0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22">
    <w:name w:val="正文_0"/>
    <w:next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1"/>
    <w:autoRedefine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3025</Characters>
  <Lines>0</Lines>
  <Paragraphs>0</Paragraphs>
  <TotalTime>9</TotalTime>
  <ScaleCrop>false</ScaleCrop>
  <LinksUpToDate>false</LinksUpToDate>
  <CharactersWithSpaces>3082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Admin</cp:lastModifiedBy>
  <dcterms:modified xsi:type="dcterms:W3CDTF">2024-03-05T07:01:45Z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386CE292D424472DAB57918AB8759087_13</vt:lpwstr>
  </property>
</Properties>
</file>