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ascii="宋体" w:hAnsi="宋体"/>
          <w:b/>
          <w:bCs/>
          <w:sz w:val="24"/>
          <w:lang w:val="en-US" w:eastAsia="zh-CN"/>
        </w:rPr>
        <w:t xml:space="preserve">  </w:t>
      </w:r>
      <w:r>
        <w:rPr>
          <w:rFonts w:hint="eastAsia" w:ascii="宋体" w:hAnsi="宋体"/>
          <w:b/>
          <w:bCs/>
          <w:sz w:val="24"/>
        </w:rPr>
        <w:t>闽清一中</w:t>
      </w:r>
      <w:r>
        <w:rPr>
          <w:rFonts w:hint="eastAsia" w:ascii="宋体" w:hAnsi="宋体"/>
          <w:b/>
          <w:bCs/>
          <w:sz w:val="24"/>
          <w:lang w:eastAsia="zh-CN"/>
        </w:rPr>
        <w:t>第</w:t>
      </w:r>
      <w:r>
        <w:rPr>
          <w:rFonts w:hint="eastAsia" w:ascii="宋体" w:hAnsi="宋体"/>
          <w:b/>
          <w:bCs/>
          <w:sz w:val="24"/>
          <w:lang w:val="en-US" w:eastAsia="zh-CN"/>
        </w:rPr>
        <w:t>十七</w:t>
      </w:r>
      <w:r>
        <w:rPr>
          <w:rFonts w:hint="eastAsia" w:ascii="宋体" w:hAnsi="宋体"/>
          <w:b/>
          <w:bCs/>
          <w:sz w:val="24"/>
          <w:lang w:eastAsia="zh-CN"/>
        </w:rPr>
        <w:t>周</w:t>
      </w:r>
      <w:r>
        <w:rPr>
          <w:rFonts w:hint="eastAsia" w:ascii="宋体" w:hAnsi="宋体"/>
          <w:b/>
          <w:bCs/>
          <w:sz w:val="24"/>
        </w:rPr>
        <w:t>主备记录表</w:t>
      </w:r>
    </w:p>
    <w:p>
      <w:pPr>
        <w:ind w:firstLine="720" w:firstLineChars="299"/>
        <w:rPr>
          <w:rFonts w:hint="default" w:ascii="宋体" w:hAnsi="宋体" w:eastAsia="宋体"/>
          <w:b/>
          <w:bCs/>
          <w:sz w:val="24"/>
          <w:lang w:val="en-US" w:eastAsia="zh-CN"/>
        </w:rPr>
      </w:pPr>
      <w:r>
        <w:rPr>
          <w:rFonts w:hint="eastAsia" w:ascii="宋体" w:hAnsi="宋体"/>
          <w:b/>
          <w:bCs/>
          <w:sz w:val="24"/>
        </w:rPr>
        <w:t>年级：高</w:t>
      </w:r>
      <w:r>
        <w:rPr>
          <w:rFonts w:hint="eastAsia" w:ascii="宋体" w:hAnsi="宋体"/>
          <w:b/>
          <w:bCs/>
          <w:sz w:val="24"/>
          <w:lang w:eastAsia="zh-CN"/>
        </w:rPr>
        <w:t>二</w:t>
      </w:r>
      <w:r>
        <w:rPr>
          <w:rFonts w:hint="eastAsia" w:ascii="宋体" w:hAnsi="宋体"/>
          <w:b/>
          <w:bCs/>
          <w:sz w:val="24"/>
        </w:rPr>
        <w:t xml:space="preserve">      学科：语文    主备教师：</w:t>
      </w:r>
      <w:r>
        <w:rPr>
          <w:rFonts w:hint="eastAsia" w:ascii="宋体" w:hAnsi="宋体"/>
          <w:b/>
          <w:bCs/>
          <w:sz w:val="24"/>
          <w:lang w:eastAsia="zh-CN"/>
        </w:rPr>
        <w:t>许炜</w:t>
      </w:r>
      <w:r>
        <w:rPr>
          <w:rFonts w:hint="eastAsia" w:ascii="宋体" w:hAnsi="宋体"/>
          <w:b/>
          <w:bCs/>
          <w:sz w:val="24"/>
        </w:rPr>
        <w:t xml:space="preserve">     时间：202</w:t>
      </w:r>
      <w:r>
        <w:rPr>
          <w:rFonts w:hint="eastAsia" w:ascii="宋体" w:hAnsi="宋体"/>
          <w:b/>
          <w:bCs/>
          <w:sz w:val="24"/>
          <w:lang w:val="en-US" w:eastAsia="zh-CN"/>
        </w:rPr>
        <w:t>2</w:t>
      </w:r>
      <w:r>
        <w:rPr>
          <w:rFonts w:hint="eastAsia" w:ascii="宋体" w:hAnsi="宋体"/>
          <w:b/>
          <w:bCs/>
          <w:sz w:val="24"/>
        </w:rPr>
        <w:t>.</w:t>
      </w:r>
      <w:r>
        <w:rPr>
          <w:rFonts w:hint="eastAsia" w:ascii="宋体" w:hAnsi="宋体"/>
          <w:b/>
          <w:bCs/>
          <w:sz w:val="24"/>
          <w:lang w:val="en-US" w:eastAsia="zh-CN"/>
        </w:rPr>
        <w:t>05.29</w:t>
      </w:r>
    </w:p>
    <w:tbl>
      <w:tblPr>
        <w:tblStyle w:val="10"/>
        <w:tblW w:w="99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1532"/>
        <w:gridCol w:w="7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集备组成员</w:t>
            </w:r>
          </w:p>
        </w:tc>
        <w:tc>
          <w:tcPr>
            <w:tcW w:w="7788"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line="240" w:lineRule="auto"/>
              <w:jc w:val="center"/>
              <w:textAlignment w:val="auto"/>
              <w:rPr>
                <w:rFonts w:hint="eastAsia" w:ascii="宋体" w:hAnsi="宋体" w:eastAsia="宋体" w:cs="宋体"/>
                <w:b w:val="0"/>
                <w:bCs w:val="0"/>
                <w:sz w:val="21"/>
                <w:szCs w:val="21"/>
              </w:rPr>
            </w:pPr>
          </w:p>
          <w:p>
            <w:pPr>
              <w:keepNext w:val="0"/>
              <w:keepLines w:val="0"/>
              <w:pageBreakBefore w:val="0"/>
              <w:widowControl w:val="0"/>
              <w:kinsoku/>
              <w:wordWrap/>
              <w:overflowPunct/>
              <w:topLinePunct w:val="0"/>
              <w:autoSpaceDE/>
              <w:autoSpaceDN/>
              <w:bidi w:val="0"/>
              <w:adjustRightInd/>
              <w:snapToGrid/>
              <w:spacing w:beforeAutospacing="0"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许炜、</w:t>
            </w:r>
            <w:r>
              <w:rPr>
                <w:rFonts w:hint="eastAsia" w:ascii="宋体" w:hAnsi="宋体" w:eastAsia="宋体" w:cs="宋体"/>
                <w:b w:val="0"/>
                <w:bCs w:val="0"/>
                <w:sz w:val="21"/>
                <w:szCs w:val="21"/>
                <w:lang w:eastAsia="zh-CN"/>
              </w:rPr>
              <w:t>祝鸣</w:t>
            </w:r>
            <w:r>
              <w:rPr>
                <w:rFonts w:hint="eastAsia" w:ascii="宋体" w:hAnsi="宋体" w:eastAsia="宋体" w:cs="宋体"/>
                <w:b w:val="0"/>
                <w:bCs w:val="0"/>
                <w:sz w:val="21"/>
                <w:szCs w:val="21"/>
              </w:rPr>
              <w:t>、刘星、</w:t>
            </w:r>
            <w:r>
              <w:rPr>
                <w:rFonts w:hint="eastAsia" w:ascii="宋体" w:hAnsi="宋体" w:cs="宋体"/>
                <w:b w:val="0"/>
                <w:bCs w:val="0"/>
                <w:sz w:val="21"/>
                <w:szCs w:val="21"/>
                <w:lang w:val="en-US" w:eastAsia="zh-CN"/>
              </w:rPr>
              <w:t>林蓉珠</w:t>
            </w:r>
            <w:r>
              <w:rPr>
                <w:rFonts w:hint="eastAsia" w:ascii="宋体" w:hAnsi="宋体" w:eastAsia="宋体" w:cs="宋体"/>
                <w:b w:val="0"/>
                <w:bCs w:val="0"/>
                <w:sz w:val="21"/>
                <w:szCs w:val="21"/>
              </w:rPr>
              <w:t>、汪雪芬、黄碧珍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632"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序号</w:t>
            </w:r>
          </w:p>
        </w:tc>
        <w:tc>
          <w:tcPr>
            <w:tcW w:w="1532"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主备项目</w:t>
            </w:r>
          </w:p>
        </w:tc>
        <w:tc>
          <w:tcPr>
            <w:tcW w:w="7788"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ind w:firstLine="2100" w:firstLineChars="1000"/>
              <w:textAlignment w:val="auto"/>
              <w:rPr>
                <w:rFonts w:hint="eastAsia" w:ascii="宋体" w:hAnsi="宋体" w:eastAsia="宋体" w:cs="宋体"/>
                <w:b w:val="0"/>
                <w:bCs w:val="0"/>
                <w:sz w:val="21"/>
                <w:szCs w:val="21"/>
              </w:rPr>
            </w:pPr>
            <w:bookmarkStart w:id="0" w:name="_GoBack"/>
            <w:bookmarkEnd w:id="0"/>
            <w:r>
              <w:rPr>
                <w:rFonts w:hint="eastAsia" w:ascii="宋体" w:hAnsi="宋体" w:eastAsia="宋体" w:cs="宋体"/>
                <w:b w:val="0"/>
                <w:bCs w:val="0"/>
                <w:sz w:val="21"/>
                <w:szCs w:val="21"/>
              </w:rPr>
              <w:t>主  备  内  容</w:t>
            </w:r>
          </w:p>
          <w:p>
            <w:pPr>
              <w:keepNext w:val="0"/>
              <w:keepLines w:val="0"/>
              <w:pageBreakBefore w:val="0"/>
              <w:widowControl w:val="0"/>
              <w:kinsoku/>
              <w:wordWrap/>
              <w:overflowPunct/>
              <w:topLinePunct w:val="0"/>
              <w:autoSpaceDE/>
              <w:autoSpaceDN/>
              <w:bidi w:val="0"/>
              <w:adjustRightInd/>
              <w:snapToGrid/>
              <w:spacing w:beforeAutospacing="0" w:line="240" w:lineRule="auto"/>
              <w:ind w:firstLine="102" w:firstLineChars="49"/>
              <w:textAlignment w:val="auto"/>
              <w:rPr>
                <w:rFonts w:hint="eastAsia"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632"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w:t>
            </w:r>
          </w:p>
        </w:tc>
        <w:tc>
          <w:tcPr>
            <w:tcW w:w="1532"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上周教学反思</w:t>
            </w:r>
          </w:p>
        </w:tc>
        <w:tc>
          <w:tcPr>
            <w:tcW w:w="7788" w:type="dxa"/>
            <w:noWrap w:val="0"/>
            <w:vAlign w:val="center"/>
          </w:tcPr>
          <w:p>
            <w:pPr>
              <w:pStyle w:val="4"/>
              <w:keepNext w:val="0"/>
              <w:keepLines w:val="0"/>
              <w:pageBreakBefore w:val="0"/>
              <w:widowControl w:val="0"/>
              <w:kinsoku/>
              <w:wordWrap/>
              <w:overflowPunct/>
              <w:topLinePunct w:val="0"/>
              <w:autoSpaceDE/>
              <w:autoSpaceDN/>
              <w:bidi w:val="0"/>
              <w:adjustRightInd/>
              <w:snapToGrid/>
              <w:spacing w:before="0" w:beforeAutospacing="0" w:after="0" w:line="240" w:lineRule="auto"/>
              <w:textAlignment w:val="auto"/>
              <w:rPr>
                <w:rFonts w:hint="default"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作文训练仍是以多元关键词内在关联为主，学生对关键词缺乏解释或解释不佳，关键词之间逻辑不清；在《孔雀东南飞》教学中，品读人物语言，分析人物形象，对诗中主要人物性格的分析和把握，了解人物美以及爱情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4" w:hRule="atLeast"/>
        </w:trPr>
        <w:tc>
          <w:tcPr>
            <w:tcW w:w="632"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w:t>
            </w:r>
          </w:p>
        </w:tc>
        <w:tc>
          <w:tcPr>
            <w:tcW w:w="1532"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学科核心素养</w:t>
            </w:r>
          </w:p>
        </w:tc>
        <w:tc>
          <w:tcPr>
            <w:tcW w:w="778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jc w:val="both"/>
              <w:textAlignment w:val="auto"/>
              <w:rPr>
                <w:rFonts w:hint="default"/>
                <w:lang w:val="en-US" w:eastAsia="zh-CN"/>
              </w:rPr>
            </w:pPr>
            <w:r>
              <w:rPr>
                <w:rFonts w:hint="eastAsia" w:ascii="宋体" w:hAnsi="宋体" w:cs="宋体"/>
                <w:b/>
                <w:szCs w:val="21"/>
              </w:rPr>
              <w:t>语言建构与运用：</w:t>
            </w:r>
            <w:r>
              <w:rPr>
                <w:rFonts w:hint="default" w:ascii="宋体" w:hAnsi="宋体" w:cs="宋体"/>
                <w:b w:val="0"/>
                <w:bCs w:val="0"/>
                <w:i w:val="0"/>
                <w:sz w:val="21"/>
                <w:szCs w:val="21"/>
                <w:u w:val="none"/>
                <w:lang w:val="en-US" w:eastAsia="zh-CN"/>
              </w:rPr>
              <w:t>反复朗诵</w:t>
            </w:r>
            <w:r>
              <w:rPr>
                <w:rFonts w:hint="eastAsia" w:ascii="宋体" w:hAnsi="宋体" w:cs="宋体"/>
                <w:b w:val="0"/>
                <w:bCs w:val="0"/>
                <w:i w:val="0"/>
                <w:sz w:val="21"/>
                <w:szCs w:val="21"/>
                <w:u w:val="none"/>
                <w:lang w:val="en-US" w:eastAsia="zh-CN"/>
              </w:rPr>
              <w:t>诗歌</w:t>
            </w:r>
            <w:r>
              <w:rPr>
                <w:rFonts w:hint="default" w:ascii="宋体" w:hAnsi="宋体" w:cs="宋体"/>
                <w:b w:val="0"/>
                <w:bCs w:val="0"/>
                <w:i w:val="0"/>
                <w:sz w:val="21"/>
                <w:szCs w:val="21"/>
                <w:u w:val="none"/>
                <w:lang w:val="en-US" w:eastAsia="zh-CN"/>
              </w:rPr>
              <w:t>，把握诗歌的情感和基调。</w:t>
            </w:r>
            <w:r>
              <w:rPr>
                <w:rFonts w:hint="eastAsia"/>
                <w:lang w:val="en-US" w:eastAsia="zh-CN"/>
              </w:rPr>
              <w:t>积累常见文言实词虚词及词法句法现象。</w:t>
            </w:r>
          </w:p>
          <w:p>
            <w:pPr>
              <w:pStyle w:val="4"/>
              <w:keepNext w:val="0"/>
              <w:keepLines w:val="0"/>
              <w:pageBreakBefore w:val="0"/>
              <w:widowControl w:val="0"/>
              <w:kinsoku/>
              <w:wordWrap/>
              <w:overflowPunct/>
              <w:topLinePunct w:val="0"/>
              <w:autoSpaceDE/>
              <w:autoSpaceDN/>
              <w:bidi w:val="0"/>
              <w:adjustRightInd/>
              <w:snapToGrid/>
              <w:spacing w:before="0" w:beforeAutospacing="0" w:after="0" w:line="240" w:lineRule="auto"/>
              <w:textAlignment w:val="auto"/>
              <w:rPr>
                <w:rFonts w:hint="eastAsia"/>
                <w:lang w:val="zh-CN"/>
              </w:rPr>
            </w:pPr>
            <w:r>
              <w:rPr>
                <w:rFonts w:hint="eastAsia" w:ascii="宋体" w:hAnsi="宋体" w:cs="宋体"/>
                <w:b/>
                <w:szCs w:val="21"/>
              </w:rPr>
              <w:t>思维发展与提升：</w:t>
            </w:r>
            <w:r>
              <w:rPr>
                <w:rFonts w:hint="eastAsia"/>
                <w:lang w:val="zh-CN"/>
              </w:rPr>
              <w:t>培养学生鉴赏诗歌作品的能力和方法，鉴赏本诗的艺术特色。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cs="宋体"/>
                <w:b/>
                <w:szCs w:val="21"/>
                <w:lang w:val="en-US" w:eastAsia="zh-CN"/>
              </w:rPr>
            </w:pPr>
            <w:r>
              <w:rPr>
                <w:rFonts w:hint="eastAsia" w:ascii="宋体" w:hAnsi="宋体" w:cs="宋体"/>
                <w:b/>
                <w:szCs w:val="21"/>
              </w:rPr>
              <w:t>审美鉴赏与创造：</w:t>
            </w:r>
            <w:r>
              <w:rPr>
                <w:rFonts w:hint="eastAsia"/>
                <w:lang w:val="zh-CN"/>
              </w:rPr>
              <w:t>感受诗歌的宏大气势和奔放的感情，品味诗歌的浪漫主义风格。</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bCs/>
                <w:sz w:val="21"/>
                <w:szCs w:val="21"/>
                <w:shd w:val="clear" w:color="auto" w:fill="FFFFFF"/>
              </w:rPr>
            </w:pPr>
            <w:r>
              <w:rPr>
                <w:rFonts w:hint="eastAsia" w:ascii="宋体" w:hAnsi="宋体" w:cs="宋体"/>
                <w:b/>
                <w:szCs w:val="21"/>
                <w:lang w:val="en-US" w:eastAsia="zh-CN"/>
              </w:rPr>
              <w:t>文化传承与理解：</w:t>
            </w:r>
            <w:r>
              <w:rPr>
                <w:rFonts w:hint="eastAsia"/>
                <w:lang w:val="zh-CN"/>
              </w:rPr>
              <w:t>整体感知全诗的感情基调，把握全诗的行文脉络。</w:t>
            </w:r>
          </w:p>
          <w:p>
            <w:pPr>
              <w:pStyle w:val="4"/>
              <w:keepNext w:val="0"/>
              <w:keepLines w:val="0"/>
              <w:pageBreakBefore w:val="0"/>
              <w:widowControl w:val="0"/>
              <w:kinsoku/>
              <w:wordWrap/>
              <w:overflowPunct/>
              <w:topLinePunct w:val="0"/>
              <w:autoSpaceDE/>
              <w:autoSpaceDN/>
              <w:bidi w:val="0"/>
              <w:adjustRightInd/>
              <w:snapToGrid/>
              <w:spacing w:before="0" w:beforeAutospacing="0" w:after="0" w:line="240" w:lineRule="auto"/>
              <w:textAlignment w:val="auto"/>
              <w:rPr>
                <w:rFonts w:hint="eastAsia"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632"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3</w:t>
            </w:r>
          </w:p>
        </w:tc>
        <w:tc>
          <w:tcPr>
            <w:tcW w:w="1532"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jc w:val="both"/>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考点分析</w:t>
            </w:r>
          </w:p>
        </w:tc>
        <w:tc>
          <w:tcPr>
            <w:tcW w:w="7788"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jc w:val="both"/>
              <w:textAlignment w:val="auto"/>
              <w:rPr>
                <w:rFonts w:hint="default"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诗歌鉴赏，归纳、积累文言知识，领悟作者的观点和主张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trPr>
        <w:tc>
          <w:tcPr>
            <w:tcW w:w="632"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4</w:t>
            </w:r>
          </w:p>
        </w:tc>
        <w:tc>
          <w:tcPr>
            <w:tcW w:w="1532"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教学设计</w:t>
            </w:r>
          </w:p>
        </w:tc>
        <w:tc>
          <w:tcPr>
            <w:tcW w:w="7788"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line="240" w:lineRule="auto"/>
              <w:jc w:val="center"/>
              <w:textAlignment w:val="auto"/>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第一课时</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一、导语</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1、唐诗的分类</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2、关于唐诗：</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二、作者</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三、解题。</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四、课文感知</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1、教师运用多媒体课件（名家朗读，辅以豪放曲风的音乐，配以相应的雄奇壮丽的蜀中风光画面），为学生创设良好的审美情境。</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2、提问：根据课前预习和刚才对课文的诵读感知，你认为这首诗的感情基调是什么？（学生思考，达到对课文的初步把握）明确：此诗奔放豪迈，充满了慨叹之意。</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3、合作性学习</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（1）了解文意</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步骤：分三步进行“整体—局部—整体”</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方法：独立思考—对照注释—共同讨论</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（2）通假举要</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所守或匪亲(“匪”通“非”)</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（3）一词多义</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当</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西当太白有鸟道（介词，在）</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一夫当关，万夫莫开（动词，阻挡，把守）</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木兰当户织（介词，对着）</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募有能捕之者，当其租入（动词，两者相抵）</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诚不足以当之（动词，承担）</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 xml:space="preserve">绝 </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枯松倒挂倚绝壁（形容词，极高的）</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而绝秦赵之欢（动词，断绝）</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率妻子邑人来此绝境（形容词，隔绝，阻绝）</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而绝江河（动词，渡过）</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以为妙绝（形容词，极点）</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佛印绝类弥勒（副词，很，非常）</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坐</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以手抚膺坐长叹（形容词，空，徒）</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停车坐爱枫林晚（介词，因为，由于）</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坐法去官（副词，因……获罪）</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项王、项伯东向坐（动词，坐下，坐着）</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或</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云霞明灭或可睹（副词，也许，或许）</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左右或欲引相如去（代词，有人）</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一食或尽粟一石（副词，有时，偶尔）</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所守或匪亲（连词，倘若）</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五、朗读课文，深入体会。</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六、布置作业。</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1、积累词语，归纳知识要点。</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2、熟读成诵，理清文章结构。</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 xml:space="preserve"> </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jc w:val="center"/>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第二课时</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教学要点：理清文章思路，领会其主旨、章法、基调。</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一、导入</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上节课我们疏通了《蜀道难》的文意，这节课我们在此基础上来具体分析这篇课文，理清文章的脉络。</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二、探究性学习</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1、这首诗的主旨句是哪句？为什么？</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明确：蜀道之难，难于上青天!</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2、本文的线索是什么？</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明确：诗人大体是按照由古至今、自秦入蜀的线索，抓住各处的山水特点来描写，以展示蜀道之难。</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3、理清诗歌层次内容。</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明确：第一段：概写蜀道之高。</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一层：写蜀道之难；</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二层：蜀道的历史、地貌、来由；</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三层：蜀道的高危。</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第二段：概写蜀道之险。</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第三段：概写蜀道的祸。</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4、开篇两句“噫吁唏……难于上青天”，在全文中的作用？</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明确：这两句统摄全诗，点明主题，奠定了诗的咏叹的基调，突出表现了蜀道的高不可测，为下文张本。</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5、诗人怎样表现蜀道的雄奇险峻？</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“蜀道之难，难于上青天”一句贯穿全文。</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第一段其余的内容有几层意思？</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明确：两层意思。第一层：（蚕丛……天梯石栈相钩连）写蜀道的来历。</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第二层：（上有……以手抚膺坐长叹）写蜀道的高峻。</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（1）从历史的角度极言蜀道之难。</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①诗的开头分几层叙述蜀道的来历？</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 xml:space="preserve"> ②引用五丁开山的传说有什么作用？</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 xml:space="preserve">引用此神话表现了人与自然的斗争以及劳动人民改造自然的强烈愿望，赞扬了开山的勇力，点染了文章神奇的色彩，引人入胜，吸引了读者。 </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从开山时作出的重大牺牲的角度言开辟蜀道的艰难。</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（2）从山势高危的角度写蜀道之难。</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（3）从行人的角度写蜀道之难。</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（4）从环境的角度烘托蜀道之难。</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诗人给这个“畏途”营造怎样的气氛？</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明确：“悲鸟号古木，子规啼夜月。”  使人闻声失色，渲染旅愁和蜀道上悲凉荒寂的环境气氛，有力地烘托蜀道之难。</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（5）从风光奇险的角度写蜀道之难。</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“连峰去天不盈尺，枯松倒挂倚绝壁。”夸饰山峰之高，绝壁之险，渲染惊险的气氛。</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（6）从现实的角度写蜀道之难。</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这一段包括哪些内容？联系时代背景说说诗人这样写的意图。</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明确：突出剑阁的险要，易守难攻，历史上在此割据称王不乏其人。从而引出对政治形势的描写，化用张载的语句，劝人引以为戒，警惕战乱发生。揭露蜀中豺狼的“磨牙吮血，杀人如麻”，既写猛兽，又影射政治凶煞，一语双关。唐宝初年，太平景象的背后正潜伏着危机，作者这样写是要提醒人们注意世事、时局，表明国事的忧虑与关切。</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三、鉴赏其艺术特色。</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1、奔放的感情，丰富的夸张，新奇的想像，杰出的浪漫主义手法。</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2、灵活的章法，宏伟的气象，深刻的主题。</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3、打破传统，采用散文化的句式，参差错落，长短不齐，形成奔放的语言风格，用韵极尽变化之能事。“奇之又奇，自骚人以还，鲜有此体调。”（殷璠）</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四、课堂小结</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这首诗淋漓尽致地刻画了蜀道之难，艺术地展现了古老蜀道逶迤、高峻、崎岖的特点，表达了诗人对当时政治局面的不满和担忧以及对友人入蜀安危的忧虑。诗人也借此表达了仕途坎坷、功业难成的悲愤之情。</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七、布置作业。</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背诵全文，深入领会李氏诗风。</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jc w:val="center"/>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第三课时  讲评《校本十》</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jc w:val="lef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 xml:space="preserve">【答案】1B    2C    3A    </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jc w:val="lef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4．①打破传统线性的单一的结构方式和思维方式。</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jc w:val="lef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 xml:space="preserve">②追求时间艺术的空间化，创造了小说时间艺术的多维空间形式。   </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jc w:val="lef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 xml:space="preserve"> 5．①文段整体上看是总分总结构。第一段首先提出论点：即江南文化对《红楼梦》的创作带来了深刻影响。</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jc w:val="lef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②接着，作者从女性的角度，例举了东晋的谢道韫，明清时期的“群体论”女性诗社，挑战了“女子无才便是德”的传统教条。</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jc w:val="lef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③然后，又例举了“明四家的画”，尤其是唐寅的诗画在“黛玉葬花”一章中有继承关系。</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jc w:val="lef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④最后总结出结论：晋代开启的江南性情文化，到了明代大大发挥，到了清代才是集大成者。</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jc w:val="lef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4．本题考查学生理解文中重要概念的内涵的能力。</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jc w:val="lef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结合“故事时间和文本时间是一致的，文本形成的以主要的人物和主要的事件为枢纽来挽结和创建整体的时空结构，就是故事的时空结构”可知，故事时间和文本时间是一致的，就是故事的时空结构。</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jc w:val="lef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结合“《红楼梦》追求时间艺术的空间化，打破了传统线性单一的结构方式和思维方式，使历史、现实和梦幻混合、交织、重组，小说人物任意穿行在时间的隧道，在过去、现在和未来三维构成的立体时间体系中来来往往”可知，打破传统线性的单一的结构方式和思维方式。</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jc w:val="lef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结合“‘传统’在被打破，也体现出现代小说的叙事特征，即故事时间和叙述时间的分离，创造了小说时间艺术的多维空间形式。这是我们过去认识不到的层面，也正是《红楼梦》叙事‘新变’的内涵”可知，追求时间艺术的空间化，创造了小说时间艺术的多维空间形式。</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jc w:val="lef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5．本题考查学生分析理解论证的结构特点的能力。</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jc w:val="lef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文段整体上看是总分总结构。</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jc w:val="lef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结合材料三第一段关键句“东晋一朝和明清两代，江南文化颇具特色，为《红楼梦》创作带来了深刻影响”可知，第一段首先提出论点：即江南文化对《红楼梦》的创作带来了深刻影响。</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jc w:val="lef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二．6.①载入史册  ②大功告成  ③硕果累累    </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jc w:val="lef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7.2022年11月29日23时08分，神舟十五号载人飞船发射升空，与空间站组合体进行自主快速交会对接，两个航天员乘组“胜利会师”。</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jc w:val="lef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8．①更加关注自己的血压  ②并不作为临床诊断标准  ③降压药切不可乱服用    </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jc w:val="lef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9．高血压患者高危人群是指高压在130～139毫米汞柱之间，低压在85～89毫米汞柱之间，按照2018 年诊断指南尚未达到高血压诊断标准，但发展成高血压患者的可能性比血压正常者大得多的一类人群。    </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jc w:val="lef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10．在专业医生的指导下（或：听从专业医生的指导），通过综合措施，同时配合药物干预进行有效的血压控制管理，患者心脑血管及肾脏功能损害的发生率才能降低。</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jc w:val="center"/>
              <w:textAlignment w:val="auto"/>
              <w:rPr>
                <w:rFonts w:hint="eastAsia" w:ascii="宋体" w:hAnsi="宋体" w:cs="宋体"/>
                <w:b w:val="0"/>
                <w:bCs w:val="0"/>
                <w:sz w:val="21"/>
                <w:szCs w:val="21"/>
                <w:lang w:val="en-US" w:eastAsia="zh-CN"/>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leftChars="0"/>
              <w:jc w:val="center"/>
              <w:textAlignment w:val="auto"/>
              <w:rPr>
                <w:rFonts w:hint="eastAsia" w:ascii="宋体" w:hAnsi="宋体" w:cs="宋体"/>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632"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5</w:t>
            </w:r>
          </w:p>
        </w:tc>
        <w:tc>
          <w:tcPr>
            <w:tcW w:w="1532"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line="240" w:lineRule="auto"/>
              <w:jc w:val="center"/>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章节测试</w:t>
            </w:r>
          </w:p>
        </w:tc>
        <w:tc>
          <w:tcPr>
            <w:tcW w:w="7788" w:type="dxa"/>
            <w:noWrap w:val="0"/>
            <w:vAlign w:val="top"/>
          </w:tcPr>
          <w:p>
            <w:pPr>
              <w:pStyle w:val="4"/>
              <w:keepNext w:val="0"/>
              <w:keepLines w:val="0"/>
              <w:pageBreakBefore w:val="0"/>
              <w:widowControl w:val="0"/>
              <w:kinsoku/>
              <w:wordWrap/>
              <w:overflowPunct/>
              <w:topLinePunct w:val="0"/>
              <w:autoSpaceDE/>
              <w:autoSpaceDN/>
              <w:bidi w:val="0"/>
              <w:adjustRightInd/>
              <w:snapToGrid/>
              <w:spacing w:before="0" w:beforeAutospacing="0" w:after="0" w:line="240" w:lineRule="auto"/>
              <w:textAlignment w:val="auto"/>
              <w:rPr>
                <w:rFonts w:hint="eastAsia" w:ascii="宋体" w:hAnsi="宋体" w:cs="宋体"/>
                <w:b w:val="0"/>
                <w:bCs w:val="0"/>
                <w:sz w:val="21"/>
                <w:szCs w:val="21"/>
                <w:lang w:val="en-US" w:eastAsia="zh-CN"/>
              </w:rPr>
            </w:pPr>
          </w:p>
          <w:p>
            <w:pPr>
              <w:pStyle w:val="4"/>
              <w:keepNext w:val="0"/>
              <w:keepLines w:val="0"/>
              <w:pageBreakBefore w:val="0"/>
              <w:widowControl w:val="0"/>
              <w:kinsoku/>
              <w:wordWrap/>
              <w:overflowPunct/>
              <w:topLinePunct w:val="0"/>
              <w:autoSpaceDE/>
              <w:autoSpaceDN/>
              <w:bidi w:val="0"/>
              <w:adjustRightInd/>
              <w:snapToGrid/>
              <w:spacing w:before="0" w:beforeAutospacing="0" w:after="0" w:line="240" w:lineRule="auto"/>
              <w:textAlignment w:val="auto"/>
              <w:rPr>
                <w:rFonts w:hint="default"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《名校学案》</w:t>
            </w:r>
          </w:p>
        </w:tc>
      </w:tr>
    </w:tbl>
    <w:p/>
    <w:sectPr>
      <w:headerReference r:id="rId3" w:type="default"/>
      <w:footerReference r:id="rId4" w:type="default"/>
      <w:pgSz w:w="11850" w:h="16783"/>
      <w:pgMar w:top="1134" w:right="1134" w:bottom="1134" w:left="1134" w:header="850" w:footer="85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MS UI Gothic">
    <w:panose1 w:val="020B0600070205080204"/>
    <w:charset w:val="80"/>
    <w:family w:val="auto"/>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2787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420" cy="278765"/>
                      </a:xfrm>
                      <a:prstGeom prst="rect">
                        <a:avLst/>
                      </a:prstGeom>
                      <a:noFill/>
                      <a:ln>
                        <a:noFill/>
                      </a:ln>
                    </wps:spPr>
                    <wps:txbx>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21.95pt;width:4.6pt;mso-position-horizontal:center;mso-position-horizontal-relative:margin;mso-wrap-style:none;z-index:251659264;mso-width-relative:page;mso-height-relative:page;" filled="f" stroked="f" coordsize="21600,21600" o:gfxdata="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b4oDrRAAAAAgEAAA8AAAAAAAAAAQAgAAAAIgAAAGRycy9kb3du&#10;cmV2LnhtbFBLAQIUABQAAAAIAIdO4kBC8YgrzQEAAJYDAAAOAAAAAAAAAAEAIAAAACABAABkcnMv&#10;ZTJvRG9jLnhtbFBLBQYAAAAABgAGAFkBAABfBQAAAAA=&#10;">
              <v:fill on="f" focussize="0,0"/>
              <v:stroke on="f"/>
              <v:imagedata o:title=""/>
              <o:lock v:ext="edit" aspectratio="f"/>
              <v:textbox inset="0mm,0mm,0mm,0mm" style="mso-fit-shape-to-text:t;">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4ABB25"/>
    <w:multiLevelType w:val="singleLevel"/>
    <w:tmpl w:val="4F4ABB25"/>
    <w:lvl w:ilvl="0" w:tentative="0">
      <w:start w:val="1"/>
      <w:numFmt w:val="decimal"/>
      <w:pStyle w:val="3"/>
      <w:lvlText w:val="%1."/>
      <w:lvlJc w:val="left"/>
      <w:pPr>
        <w:tabs>
          <w:tab w:val="left"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jMWIzMmQ0ZGI1M2RjMDI2OWY3ZmMxOWI0NjZiODYifQ=="/>
  </w:docVars>
  <w:rsids>
    <w:rsidRoot w:val="71502C78"/>
    <w:rsid w:val="017C51DD"/>
    <w:rsid w:val="03EA1389"/>
    <w:rsid w:val="0CF835CA"/>
    <w:rsid w:val="0E5E75A3"/>
    <w:rsid w:val="0FB83603"/>
    <w:rsid w:val="0FF07C03"/>
    <w:rsid w:val="195648F2"/>
    <w:rsid w:val="19B203FA"/>
    <w:rsid w:val="1E1C61E9"/>
    <w:rsid w:val="1E254B7D"/>
    <w:rsid w:val="1EA27958"/>
    <w:rsid w:val="1F38098A"/>
    <w:rsid w:val="29546AFA"/>
    <w:rsid w:val="2B51626A"/>
    <w:rsid w:val="35A65B28"/>
    <w:rsid w:val="36CB57C8"/>
    <w:rsid w:val="3B7D1ABE"/>
    <w:rsid w:val="46853538"/>
    <w:rsid w:val="47073902"/>
    <w:rsid w:val="4C3D045B"/>
    <w:rsid w:val="4DEC659F"/>
    <w:rsid w:val="4F815213"/>
    <w:rsid w:val="53513120"/>
    <w:rsid w:val="584D2841"/>
    <w:rsid w:val="59053F3C"/>
    <w:rsid w:val="593D4A81"/>
    <w:rsid w:val="5D796A14"/>
    <w:rsid w:val="5DB20C5F"/>
    <w:rsid w:val="5E913B70"/>
    <w:rsid w:val="60390B24"/>
    <w:rsid w:val="604A33D1"/>
    <w:rsid w:val="609D2A71"/>
    <w:rsid w:val="60AF00DC"/>
    <w:rsid w:val="657A1F48"/>
    <w:rsid w:val="6F951527"/>
    <w:rsid w:val="71502C78"/>
    <w:rsid w:val="716714CA"/>
    <w:rsid w:val="733314EA"/>
    <w:rsid w:val="77533083"/>
    <w:rsid w:val="77F11C77"/>
    <w:rsid w:val="7B9A4DB4"/>
    <w:rsid w:val="7EEB2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b/>
      <w:bCs/>
      <w:sz w:val="32"/>
      <w:szCs w:val="32"/>
    </w:rPr>
  </w:style>
  <w:style w:type="paragraph" w:styleId="3">
    <w:name w:val="List Number"/>
    <w:basedOn w:val="1"/>
    <w:qFormat/>
    <w:uiPriority w:val="0"/>
    <w:pPr>
      <w:numPr>
        <w:ilvl w:val="0"/>
        <w:numId w:val="1"/>
      </w:numPr>
    </w:pPr>
  </w:style>
  <w:style w:type="paragraph" w:styleId="4">
    <w:name w:val="Body Text"/>
    <w:basedOn w:val="1"/>
    <w:qFormat/>
    <w:uiPriority w:val="0"/>
    <w:pPr>
      <w:spacing w:before="100" w:beforeAutospacing="1" w:after="120"/>
    </w:pPr>
  </w:style>
  <w:style w:type="paragraph" w:styleId="5">
    <w:name w:val="Plain Text"/>
    <w:basedOn w:val="1"/>
    <w:qFormat/>
    <w:uiPriority w:val="0"/>
    <w:pPr>
      <w:widowControl w:val="0"/>
      <w:adjustRightInd/>
      <w:snapToGrid/>
      <w:spacing w:after="0"/>
      <w:jc w:val="both"/>
    </w:pPr>
    <w:rPr>
      <w:rFonts w:ascii="宋体" w:hAnsi="Courier New" w:eastAsia="宋体" w:cs="Courier New"/>
      <w:kern w:val="2"/>
      <w:sz w:val="21"/>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9">
    <w:name w:val="Normal (Web)"/>
    <w:basedOn w:val="1"/>
    <w:semiHidden/>
    <w:qFormat/>
    <w:uiPriority w:val="0"/>
    <w:pPr>
      <w:widowControl/>
      <w:spacing w:before="100" w:beforeAutospacing="1" w:after="100" w:afterAutospacing="1"/>
      <w:jc w:val="left"/>
    </w:pPr>
    <w:rPr>
      <w:rFonts w:ascii="宋体" w:hAnsi="宋体"/>
      <w:color w:val="000000"/>
      <w:kern w:val="0"/>
      <w:sz w:val="24"/>
      <w:szCs w:val="24"/>
    </w:rPr>
  </w:style>
  <w:style w:type="table" w:styleId="11">
    <w:name w:val="Table Grid"/>
    <w:basedOn w:val="10"/>
    <w:qFormat/>
    <w:uiPriority w:val="0"/>
    <w:pPr>
      <w:widowControl w:val="0"/>
      <w:spacing w:after="0" w:line="240" w:lineRule="auto"/>
      <w:jc w:val="both"/>
    </w:pPr>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rPr>
  </w:style>
  <w:style w:type="paragraph" w:styleId="14">
    <w:name w:val="List Paragraph"/>
    <w:basedOn w:val="1"/>
    <w:qFormat/>
    <w:uiPriority w:val="34"/>
    <w:pPr>
      <w:ind w:firstLine="420" w:firstLineChars="200"/>
    </w:pPr>
    <w:rPr>
      <w:szCs w:val="24"/>
    </w:rPr>
  </w:style>
  <w:style w:type="character" w:customStyle="1" w:styleId="15">
    <w:name w:val="any"/>
    <w:basedOn w:val="12"/>
    <w:qFormat/>
    <w:uiPriority w:val="0"/>
  </w:style>
  <w:style w:type="paragraph" w:customStyle="1" w:styleId="16">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
    <w:name w:val="正文_0"/>
    <w:qFormat/>
    <w:uiPriority w:val="0"/>
    <w:pPr>
      <w:widowControl w:val="0"/>
      <w:jc w:val="both"/>
    </w:pPr>
    <w:rPr>
      <w:rFonts w:ascii="Calibri" w:hAnsi="Calibri" w:eastAsia="Times New Roman" w:cs="Times New Roman"/>
      <w:kern w:val="2"/>
      <w:sz w:val="21"/>
      <w:szCs w:val="24"/>
      <w:lang w:val="en-US" w:eastAsia="zh-CN" w:bidi="ar-SA"/>
    </w:rPr>
  </w:style>
  <w:style w:type="table" w:customStyle="1" w:styleId="18">
    <w:name w:val="Table Normal_0"/>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3553</Words>
  <Characters>3595</Characters>
  <Lines>0</Lines>
  <Paragraphs>0</Paragraphs>
  <TotalTime>3</TotalTime>
  <ScaleCrop>false</ScaleCrop>
  <LinksUpToDate>false</LinksUpToDate>
  <CharactersWithSpaces>3720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2021-10-07T02:04:00Z</dcterms:created>
  <dc:creator>CLY</dc:creator>
  <cp:lastModifiedBy>浅笑安然</cp:lastModifiedBy>
  <cp:lastPrinted>2023-05-06T03:54:00Z</cp:lastPrinted>
  <dcterms:modified xsi:type="dcterms:W3CDTF">2023-05-29T01:37:55Z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BADC6A0F727243F9A54AE9EEEA0EC74B</vt:lpwstr>
  </property>
</Properties>
</file>