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val="0"/>
          <w:bCs/>
          <w:color w:val="auto"/>
          <w:sz w:val="32"/>
          <w:szCs w:val="32"/>
          <w:lang w:eastAsia="zh-CN"/>
        </w:rPr>
      </w:pPr>
      <w:r>
        <w:rPr>
          <w:rFonts w:hint="eastAsia" w:asciiTheme="minorEastAsia" w:hAnsiTheme="minorEastAsia" w:eastAsiaTheme="minorEastAsia" w:cstheme="minorEastAsia"/>
          <w:b w:val="0"/>
          <w:bCs/>
          <w:color w:val="auto"/>
          <w:sz w:val="32"/>
          <w:szCs w:val="32"/>
          <w:lang w:val="en-US" w:eastAsia="zh-CN"/>
        </w:rPr>
        <w:t>2019--2020上学期高三校本</w:t>
      </w:r>
      <w:bookmarkStart w:id="0" w:name="_GoBack"/>
      <w:bookmarkEnd w:id="0"/>
      <w:r>
        <w:rPr>
          <w:rFonts w:hint="eastAsia" w:asciiTheme="minorEastAsia" w:hAnsiTheme="minorEastAsia" w:eastAsiaTheme="minorEastAsia" w:cstheme="minorEastAsia"/>
          <w:b w:val="0"/>
          <w:bCs/>
          <w:color w:val="auto"/>
          <w:sz w:val="32"/>
          <w:szCs w:val="32"/>
          <w:lang w:eastAsia="zh-CN"/>
        </w:rPr>
        <w:t>近代中国经济</w:t>
      </w:r>
    </w:p>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组卷：刘美玲</w:t>
      </w:r>
      <w:r>
        <w:rPr>
          <w:rFonts w:hint="eastAsia" w:asciiTheme="minorEastAsia" w:hAnsiTheme="minorEastAsia" w:eastAsiaTheme="minorEastAsia" w:cstheme="minorEastAsia"/>
          <w:b w:val="0"/>
          <w:bCs/>
          <w:color w:val="auto"/>
          <w:sz w:val="24"/>
          <w:szCs w:val="24"/>
          <w:lang w:val="en-US" w:eastAsia="zh-CN"/>
        </w:rPr>
        <w:t xml:space="preserve">   </w:t>
      </w:r>
    </w:p>
    <w:p>
      <w:pPr>
        <w:jc w:val="both"/>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班级：</w:t>
      </w:r>
      <w:r>
        <w:rPr>
          <w:rFonts w:hint="eastAsia" w:asciiTheme="minorEastAsia" w:hAnsiTheme="minorEastAsia" w:eastAsiaTheme="minorEastAsia" w:cstheme="minorEastAsia"/>
          <w:b w:val="0"/>
          <w:bCs/>
          <w:color w:val="auto"/>
          <w:sz w:val="24"/>
          <w:szCs w:val="24"/>
          <w:lang w:val="en-US" w:eastAsia="zh-CN"/>
        </w:rPr>
        <w:t xml:space="preserve">            姓名：             座号：                 成绩：</w:t>
      </w:r>
    </w:p>
    <w:p>
      <w:pP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一、单选题</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上海开埠后，周边地区棉花种植迅速增多。19世纪80年代后，经由上海港输出的原棉，成为日本关西地区新兴棉纺织工业的主要原料来源，日商大阪纺织会遂提出在上海建立轧花厂，并于1888年开工。华商紧随其后在新闸、杨树浦设立棉利公司和源记公司。材料说明</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A．上海开埠推动农村经济结构的调整</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B．城市经济与农村经济相互推动</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C．列强经济侵略催生了民族工业的诞生D．日本经济侵略推动了上海棉花加工</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2</w:t>
      </w:r>
      <w:r>
        <w:rPr>
          <w:rStyle w:val="6"/>
          <w:rFonts w:hint="eastAsia" w:asciiTheme="minorEastAsia" w:hAnsiTheme="minorEastAsia" w:eastAsiaTheme="minorEastAsia" w:cstheme="minorEastAsia"/>
          <w:b w:val="0"/>
          <w:bCs/>
          <w:color w:val="auto"/>
          <w:sz w:val="18"/>
          <w:szCs w:val="18"/>
        </w:rPr>
        <w:t>．有资料表明，英国输华货值，鸦片战争前为数十万英镑，战后增至二百多万英镑，但道光二十六年（1846年）以后开始下降，到咸丰四年（1854年）为一百万英镑多一点，仅略超过战前的水平。对此解读合理的是</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A．鸦片战争极大地促进了中英贸易</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B．中国自然经济的抵抗力相当顽强</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C．咸丰比道光更加反对中英贸易</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D．英国工业革命扩展到了大清国</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3</w:t>
      </w:r>
      <w:r>
        <w:rPr>
          <w:rStyle w:val="6"/>
          <w:rFonts w:hint="eastAsia" w:asciiTheme="minorEastAsia" w:hAnsiTheme="minorEastAsia" w:eastAsiaTheme="minorEastAsia" w:cstheme="minorEastAsia"/>
          <w:b w:val="0"/>
          <w:bCs/>
          <w:color w:val="auto"/>
          <w:sz w:val="18"/>
          <w:szCs w:val="18"/>
        </w:rPr>
        <w:t>．1876年，《申报》就中国是否应仿行机器织布进行了一场讨论，连续发文多篇，大加倡导。该报主笔说，他数年前就曾提议“购齐西国织造各布机器”“仿织洋布，定易销售”，但应者寥寥。现在他的主张却得到了社会與论的广泛支持。这—变化反映了当时的中国</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A．政府枳极推行重商政策</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B．工业文明的优势被认同</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C．开始兴起“实业救国”思潮</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D．国人市场意识逐渐形成</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4</w:t>
      </w:r>
      <w:r>
        <w:rPr>
          <w:rStyle w:val="6"/>
          <w:rFonts w:hint="eastAsia" w:asciiTheme="minorEastAsia" w:hAnsiTheme="minorEastAsia" w:eastAsiaTheme="minorEastAsia" w:cstheme="minorEastAsia"/>
          <w:b w:val="0"/>
          <w:bCs/>
          <w:color w:val="auto"/>
          <w:sz w:val="18"/>
          <w:szCs w:val="18"/>
        </w:rPr>
        <w:t>．有学者在评价洋务运动时指出：“当时中国并非—个近代化国家，政府不是一个近代化的国家政府，用旧有思维定式去带领整个国家走向近代化，注定是一场悲剧。”该学者旨在说明</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A．中国不具备近代化的客观条件</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B．中体西用完全脱离了中国实际</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C．政治体制改革是近代化的前提</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D．洋务运动失败具有内在必然性</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5</w:t>
      </w:r>
      <w:r>
        <w:rPr>
          <w:rStyle w:val="6"/>
          <w:rFonts w:hint="eastAsia" w:asciiTheme="minorEastAsia" w:hAnsiTheme="minorEastAsia" w:eastAsiaTheme="minorEastAsia" w:cstheme="minorEastAsia"/>
          <w:b w:val="0"/>
          <w:bCs/>
          <w:color w:val="auto"/>
          <w:sz w:val="18"/>
          <w:szCs w:val="18"/>
        </w:rPr>
        <w:t>．19世70—80年代，清朝外交官郭嵩焘抨击西方对中国进行侵略“其势日逼、其患日深，同时指出“西洋立国有本有末，其本在朝延政教，其末有商贾、造船、制器，相辅以益其强”，并呼呼“得其道而顺用之，亦足为中国之利”。此思想</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A．代表了洋务运动时期的主流认识</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B．直接指导光绪帝实行戊戌变法</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C．反映出对待西方文明的理性态度</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D．与义和团运动提出的主张一致</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6．1871年时，湖南、湖北的茶叶种植面积较10年前增加了50%，有些地方以种茶取代种植其他作物，如平江“向种红薯之处，悉以种茶”，浏阳地区“以素所植麻，拔而植茶”。造成这一现象的主要原因是</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A．第二次鸦片战争后农产品出口获利较多</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B．两湖地区的茶叶种植技术取得重大突破</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C．列强侵略势力已经深入到长江中游地区</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D．中国卷入世界市场后自然经济逐步解体</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7</w:t>
      </w:r>
      <w:r>
        <w:rPr>
          <w:rStyle w:val="6"/>
          <w:rFonts w:hint="eastAsia" w:asciiTheme="minorEastAsia" w:hAnsiTheme="minorEastAsia" w:eastAsiaTheme="minorEastAsia" w:cstheme="minorEastAsia"/>
          <w:b w:val="0"/>
          <w:bCs/>
          <w:color w:val="auto"/>
          <w:sz w:val="18"/>
          <w:szCs w:val="18"/>
        </w:rPr>
        <w:t>．甲午战争以后，越来越多的民族企业的商业广告在其产品名称前特地加上“国货”二字，如“金叶牌国货线毯”、“无敌牌国货牙粉”、“顶上国货，金马牌香烟”等。这种现象增多的主要原因是</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A．民族企业发展迅速</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B．实业救国深入人心C．政府提倡消费国货</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D．列强经济侵略加深</w:t>
      </w:r>
    </w:p>
    <w:p>
      <w:pPr>
        <w:spacing w:line="360" w:lineRule="auto"/>
        <w:jc w:val="left"/>
        <w:textAlignment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lang w:val="en-US" w:eastAsia="zh-CN"/>
        </w:rPr>
        <w:t>8</w:t>
      </w:r>
      <w:r>
        <w:rPr>
          <w:rFonts w:hint="eastAsia" w:asciiTheme="minorEastAsia" w:hAnsiTheme="minorEastAsia" w:eastAsiaTheme="minorEastAsia" w:cstheme="minorEastAsia"/>
          <w:b w:val="0"/>
          <w:bCs/>
          <w:color w:val="auto"/>
          <w:sz w:val="18"/>
          <w:szCs w:val="18"/>
        </w:rPr>
        <w:t>．中国传统观念“重理义、轻艺事”，读书人从来不以技艺为正业，但随着洋务运动的发展，出现了天津电报学堂（1879）天津水师学堂（1880）天津武备学堂（1886）天津军工学堂（1893）等一批专攻军事和工艺的专门学堂。这种变化从本质上说明了</w:t>
      </w:r>
    </w:p>
    <w:p>
      <w:pPr>
        <w:spacing w:line="360" w:lineRule="auto"/>
        <w:jc w:val="left"/>
        <w:textAlignment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A.“中体西用”的思想观念被国人所抛弃B.在西方器物的刺激下，艺事渐为人重</w:t>
      </w:r>
    </w:p>
    <w:p>
      <w:pPr>
        <w:spacing w:line="360" w:lineRule="auto"/>
        <w:jc w:val="left"/>
        <w:textAlignment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C.社会发展的需要促进思想观念进步</w:t>
      </w:r>
      <w:r>
        <w:rPr>
          <w:rFonts w:hint="eastAsia" w:asciiTheme="minorEastAsia" w:hAnsiTheme="minorEastAsia" w:eastAsia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D.中国近代文化教育事业由此起步</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9</w:t>
      </w:r>
      <w:r>
        <w:rPr>
          <w:rStyle w:val="6"/>
          <w:rFonts w:hint="eastAsia" w:asciiTheme="minorEastAsia" w:hAnsiTheme="minorEastAsia" w:eastAsiaTheme="minorEastAsia" w:cstheme="minorEastAsia"/>
          <w:b w:val="0"/>
          <w:bCs/>
          <w:color w:val="auto"/>
          <w:sz w:val="18"/>
          <w:szCs w:val="18"/>
        </w:rPr>
        <w:t>．洋务运动时期兴办的新式企业特别是官督商办企业，在利益分配上多实行官利制度。如招商局开办时从直隶练饷局借用官款制钱20万串，“名为官本，公家只取官利，不负盈亏责任，实属存款性质。”由此可见，官利制度</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A．得到了社会的认可和支持</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B．不利于推动中国新式企业发展</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C．适应了近代社会经济结构</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D．与封建地租利益分配方式相同</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10</w:t>
      </w:r>
      <w:r>
        <w:rPr>
          <w:rStyle w:val="6"/>
          <w:rFonts w:hint="eastAsia" w:asciiTheme="minorEastAsia" w:hAnsiTheme="minorEastAsia" w:eastAsiaTheme="minorEastAsia" w:cstheme="minorEastAsia"/>
          <w:b w:val="0"/>
          <w:bCs/>
          <w:color w:val="auto"/>
          <w:sz w:val="18"/>
          <w:szCs w:val="18"/>
        </w:rPr>
        <w:t>．下图是近代中国四种经济成分——自然经济、洋务经济、民族企业、外资企业之间的关系示意图。图中序号依次对应的是</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drawing>
          <wp:inline distT="0" distB="0" distL="114300" distR="114300">
            <wp:extent cx="2409825" cy="1619250"/>
            <wp:effectExtent l="0" t="0" r="9525" b="0"/>
            <wp:docPr id="100001" name="图片 100001" descr="figure"/>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pic:nvPicPr>
                  <pic:blipFill>
                    <a:blip r:embed="rId8"/>
                    <a:stretch>
                      <a:fillRect/>
                    </a:stretch>
                  </pic:blipFill>
                  <pic:spPr>
                    <a:xfrm>
                      <a:off x="0" y="0"/>
                      <a:ext cx="2409825" cy="1619250"/>
                    </a:xfrm>
                    <a:prstGeom prst="rect">
                      <a:avLst/>
                    </a:prstGeom>
                  </pic:spPr>
                </pic:pic>
              </a:graphicData>
            </a:graphic>
          </wp:inline>
        </w:drawing>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A．自然经济民族企业洋务经济外资企业</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B．外资企业洋务企业自然经济民族企业</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C．自然经济外资企业洋务经济民族企业</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D．民族企业外资企业洋务企业民族企业</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11</w:t>
      </w:r>
      <w:r>
        <w:rPr>
          <w:rStyle w:val="6"/>
          <w:rFonts w:hint="eastAsia" w:asciiTheme="minorEastAsia" w:hAnsiTheme="minorEastAsia" w:eastAsiaTheme="minorEastAsia" w:cstheme="minorEastAsia"/>
          <w:b w:val="0"/>
          <w:bCs/>
          <w:color w:val="auto"/>
          <w:sz w:val="18"/>
          <w:szCs w:val="18"/>
        </w:rPr>
        <w:t>．自1894年以后到1913年的二十年间，进口机纱加强了攻势，除印纱外，还有日纱，且国内近代纱厂兴起，产量已占进口纱的62.5%，这对棉农纺织户的自纺纱起了“釜底抽薪”的作用。以上现象说明</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A．列强在华设厂加速自然经济解体</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B．民族资本主义经济获得初步发展</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C．“纺织分离”体现传统经济解体</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D．“男耕女织”模式受到内外夹击</w:t>
      </w:r>
    </w:p>
    <w:p>
      <w:pPr>
        <w:spacing w:line="360" w:lineRule="auto"/>
        <w:jc w:val="left"/>
        <w:textAlignment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lang w:val="en-US" w:eastAsia="zh-CN"/>
        </w:rPr>
        <w:t>12·</w:t>
      </w:r>
      <w:r>
        <w:rPr>
          <w:rFonts w:hint="eastAsia" w:asciiTheme="minorEastAsia" w:hAnsiTheme="minorEastAsia" w:eastAsiaTheme="minorEastAsia" w:cstheme="minorEastAsia"/>
          <w:b w:val="0"/>
          <w:bCs/>
          <w:color w:val="auto"/>
          <w:sz w:val="18"/>
          <w:szCs w:val="18"/>
        </w:rPr>
        <w:t>1871—1889年回国留学人员任职一览表</w:t>
      </w:r>
    </w:p>
    <w:p>
      <w:pPr>
        <w:spacing w:line="360" w:lineRule="auto"/>
        <w:jc w:val="left"/>
        <w:textAlignment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drawing>
          <wp:inline distT="0" distB="0" distL="114300" distR="114300">
            <wp:extent cx="3095625" cy="1467485"/>
            <wp:effectExtent l="0" t="0" r="9525" b="18415"/>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9"/>
                    <a:stretch>
                      <a:fillRect/>
                    </a:stretch>
                  </pic:blipFill>
                  <pic:spPr>
                    <a:xfrm>
                      <a:off x="0" y="0"/>
                      <a:ext cx="3095625" cy="1467485"/>
                    </a:xfrm>
                    <a:prstGeom prst="rect">
                      <a:avLst/>
                    </a:prstGeom>
                  </pic:spPr>
                </pic:pic>
              </a:graphicData>
            </a:graphic>
          </wp:inline>
        </w:drawing>
      </w:r>
    </w:p>
    <w:p>
      <w:pPr>
        <w:spacing w:line="360" w:lineRule="auto"/>
        <w:jc w:val="left"/>
        <w:textAlignment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A．近代教育解决了人才匮乏问题</w:t>
      </w:r>
      <w:r>
        <w:rPr>
          <w:rFonts w:hint="eastAsia" w:asciiTheme="minorEastAsia" w:hAnsiTheme="minorEastAsia" w:eastAsia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B．政府教育体制发生了巨大变化</w:t>
      </w:r>
    </w:p>
    <w:p>
      <w:pPr>
        <w:spacing w:line="360" w:lineRule="auto"/>
        <w:jc w:val="left"/>
        <w:textAlignment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C．留学教育内容具有很强时代性</w:t>
      </w:r>
      <w:r>
        <w:rPr>
          <w:rFonts w:hint="eastAsia" w:asciiTheme="minorEastAsia" w:hAnsiTheme="minorEastAsia" w:eastAsia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D．清政府建立了近代化选官制度</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13</w:t>
      </w:r>
      <w:r>
        <w:rPr>
          <w:rStyle w:val="6"/>
          <w:rFonts w:hint="eastAsia" w:asciiTheme="minorEastAsia" w:hAnsiTheme="minorEastAsia" w:eastAsiaTheme="minorEastAsia" w:cstheme="minorEastAsia"/>
          <w:b w:val="0"/>
          <w:bCs/>
          <w:color w:val="auto"/>
          <w:sz w:val="18"/>
          <w:szCs w:val="18"/>
        </w:rPr>
        <w:t>．清末官商合办的电报局，发起时多赖商人踊跃入股。1908年，政府将其收归官办时，以商人收利已久、应减价报效为由，将股票收购价格从商人提出的每股290元，酌定为150元。据此可推断</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A．清末新政成为洋务运动的翻版</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B．产权意识的滞后制约新政成效</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C．发展官营企业成为各界的共识</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D．政府厉行抑商的政策一以贯之</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w:t>
      </w:r>
      <w:r>
        <w:rPr>
          <w:rStyle w:val="6"/>
          <w:rFonts w:hint="eastAsia" w:asciiTheme="minorEastAsia" w:hAnsiTheme="minorEastAsia" w:eastAsiaTheme="minorEastAsia" w:cstheme="minorEastAsia"/>
          <w:b w:val="0"/>
          <w:bCs/>
          <w:color w:val="auto"/>
          <w:sz w:val="18"/>
          <w:szCs w:val="18"/>
          <w:lang w:val="en-US" w:eastAsia="zh-CN"/>
        </w:rPr>
        <w:t>4</w:t>
      </w:r>
      <w:r>
        <w:rPr>
          <w:rStyle w:val="6"/>
          <w:rFonts w:hint="eastAsia" w:asciiTheme="minorEastAsia" w:hAnsiTheme="minorEastAsia" w:eastAsiaTheme="minorEastAsia" w:cstheme="minorEastAsia"/>
          <w:b w:val="0"/>
          <w:bCs/>
          <w:color w:val="auto"/>
          <w:sz w:val="18"/>
          <w:szCs w:val="18"/>
        </w:rPr>
        <w:t>．下列对《晚清政府财政收入结构表》所含信息的解读正确的是</w:t>
      </w:r>
    </w:p>
    <w:tbl>
      <w:tblPr>
        <w:tblStyle w:val="5"/>
        <w:tblW w:w="8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914"/>
        <w:gridCol w:w="914"/>
        <w:gridCol w:w="965"/>
        <w:gridCol w:w="948"/>
        <w:gridCol w:w="914"/>
        <w:gridCol w:w="914"/>
        <w:gridCol w:w="965"/>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14" w:type="dxa"/>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年代</w:t>
            </w:r>
          </w:p>
        </w:tc>
        <w:tc>
          <w:tcPr>
            <w:tcW w:w="1828" w:type="dxa"/>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农业税收入</w:t>
            </w:r>
          </w:p>
        </w:tc>
        <w:tc>
          <w:tcPr>
            <w:tcW w:w="1913" w:type="dxa"/>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工商杂税收入</w:t>
            </w:r>
          </w:p>
        </w:tc>
        <w:tc>
          <w:tcPr>
            <w:tcW w:w="1828" w:type="dxa"/>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其他收入</w:t>
            </w:r>
          </w:p>
        </w:tc>
        <w:tc>
          <w:tcPr>
            <w:tcW w:w="1879" w:type="dxa"/>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总收入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14" w:type="dxa"/>
            <w:vMerge w:val="continue"/>
            <w:tcBorders>
              <w:top w:val="single" w:color="000000" w:sz="6" w:space="0"/>
              <w:left w:val="single" w:color="000000" w:sz="6" w:space="0"/>
              <w:bottom w:val="single" w:color="000000" w:sz="6" w:space="0"/>
              <w:right w:val="single" w:color="000000" w:sz="6" w:space="0"/>
            </w:tcBorders>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数额</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比重</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数额</w:t>
            </w:r>
          </w:p>
        </w:tc>
        <w:tc>
          <w:tcPr>
            <w:tcW w:w="9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比重</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数额</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比重</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数额</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1849</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3281</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77</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969</w:t>
            </w:r>
          </w:p>
        </w:tc>
        <w:tc>
          <w:tcPr>
            <w:tcW w:w="9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23</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4250</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1885</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3071</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40</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3923</w:t>
            </w:r>
          </w:p>
        </w:tc>
        <w:tc>
          <w:tcPr>
            <w:tcW w:w="9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51</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714</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9</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7708</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1911</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4810</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16</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20441</w:t>
            </w:r>
          </w:p>
        </w:tc>
        <w:tc>
          <w:tcPr>
            <w:tcW w:w="9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69</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4445</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15</w:t>
            </w:r>
          </w:p>
        </w:tc>
        <w:tc>
          <w:tcPr>
            <w:tcW w:w="9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29696</w:t>
            </w:r>
          </w:p>
        </w:tc>
        <w:tc>
          <w:tcPr>
            <w:tcW w:w="91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100</w:t>
            </w:r>
          </w:p>
        </w:tc>
      </w:tr>
    </w:tbl>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（注：单位，万两，资料选自冯杨《低关税与近代中国经济发展研究》工商杂税收入包括：盐课、关税、厘金、官业收入、杂税等。（其中关税1841年约420万两；1887年2054万两：1911年3617万两。）</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A．农产品的商品化程度不断提高，促使农业税比重大幅缩小</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B．洋务及官僚资本主义企业出现并发展，工商杂税收入上升</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C．税收主体的变化折射出中国经济近代化程度的逐步加深</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D．中国被卷入资本主义世界市场，关税收入是清政府最主要的财源</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15</w:t>
      </w:r>
      <w:r>
        <w:rPr>
          <w:rStyle w:val="6"/>
          <w:rFonts w:hint="eastAsia" w:asciiTheme="minorEastAsia" w:hAnsiTheme="minorEastAsia" w:eastAsiaTheme="minorEastAsia" w:cstheme="minorEastAsia"/>
          <w:b w:val="0"/>
          <w:bCs/>
          <w:color w:val="auto"/>
          <w:sz w:val="18"/>
          <w:szCs w:val="18"/>
        </w:rPr>
        <w:t>．在史学研究领域，“主观动机”和“客观效果”，是经常被采用的两个历史分析维度。“主观动机”是指历史事件发生前假定要达成的预期目的，“客观效果”是历史事件发生后所产生的事实结果和影响。纵观古今中外历史进程，对同一个历史事件而言，“主观动机”和“客观效果”也可能出现相背离的局面……下列选项组合中符合此种现象的是</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A．洋务运动——清末放宽对民间设厂的限制——清末新政</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B．西方列强侵略中国——甲午战后日本怂恿清政府派遣留日学生——庚子赔款</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C．京师大学堂——义和团运动——新文化运动</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D．洋务运动——清末新政——五四运动</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16</w:t>
      </w:r>
      <w:r>
        <w:rPr>
          <w:rStyle w:val="6"/>
          <w:rFonts w:hint="eastAsia" w:asciiTheme="minorEastAsia" w:hAnsiTheme="minorEastAsia" w:eastAsiaTheme="minorEastAsia" w:cstheme="minorEastAsia"/>
          <w:b w:val="0"/>
          <w:bCs/>
          <w:color w:val="auto"/>
          <w:sz w:val="18"/>
          <w:szCs w:val="18"/>
        </w:rPr>
        <w:t>．宋子文认为通货膨胀的威胁已经过去，因此不再拍卖敌伪财产；另一方面，继承敌人的统制体系，要造成化公为私的国营企业，其中最大的便是中纺与中蚕。这</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A．激化了国民政府与民众的矛盾</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B．使民族资本主义获得新生</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C．有利于国民经济的恢复与发展</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D．为抗日战争提供物质基础</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17</w:t>
      </w:r>
      <w:r>
        <w:rPr>
          <w:rStyle w:val="6"/>
          <w:rFonts w:hint="eastAsia" w:asciiTheme="minorEastAsia" w:hAnsiTheme="minorEastAsia" w:eastAsiaTheme="minorEastAsia" w:cstheme="minorEastAsia"/>
          <w:b w:val="0"/>
          <w:bCs/>
          <w:color w:val="auto"/>
          <w:sz w:val="18"/>
          <w:szCs w:val="18"/>
        </w:rPr>
        <w:t>．1945年9月27日，国民政府财政部将法币与汪伪政权货币的兑换率定为1：200。历史学家黄仁宇曾回忆说，他从昆明飞上海前领取了薪俸，一下飞机就发现手中的法币突然成了硬通货，在重庆只能购买2根油条的法币，到了上海竟可以在上好的酒楼摆上两桌酒席。这说明</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A．沦陷区国民财富迅速缩水</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B．政府抑制全国法币发行</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C．上海法币大量回流到重庆</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D．官僚资本遭受沉重打击</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18</w:t>
      </w:r>
      <w:r>
        <w:rPr>
          <w:rStyle w:val="6"/>
          <w:rFonts w:hint="eastAsia" w:asciiTheme="minorEastAsia" w:hAnsiTheme="minorEastAsia" w:eastAsiaTheme="minorEastAsia" w:cstheme="minorEastAsia"/>
          <w:b w:val="0"/>
          <w:bCs/>
          <w:color w:val="auto"/>
          <w:sz w:val="18"/>
          <w:szCs w:val="18"/>
        </w:rPr>
        <w:t>．下图为1938～1942年海关统计中国主要产业机械进口值变化情况（单位：法币元）。对此分析合理的是</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drawing>
          <wp:inline distT="0" distB="0" distL="114300" distR="114300">
            <wp:extent cx="3505200" cy="1543050"/>
            <wp:effectExtent l="0" t="0" r="0" b="0"/>
            <wp:docPr id="100004" name="图片 100004"/>
            <wp:cNvGraphicFramePr/>
            <a:graphic xmlns:a="http://schemas.openxmlformats.org/drawingml/2006/main">
              <a:graphicData uri="http://schemas.openxmlformats.org/drawingml/2006/picture">
                <pic:pic xmlns:pic="http://schemas.openxmlformats.org/drawingml/2006/picture">
                  <pic:nvPicPr>
                    <pic:cNvPr id="100004" name="图片 100004"/>
                    <pic:cNvPicPr/>
                  </pic:nvPicPr>
                  <pic:blipFill>
                    <a:blip r:embed="rId10"/>
                    <a:stretch>
                      <a:fillRect/>
                    </a:stretch>
                  </pic:blipFill>
                  <pic:spPr>
                    <a:xfrm>
                      <a:off x="0" y="0"/>
                      <a:ext cx="3505200" cy="1543050"/>
                    </a:xfrm>
                    <a:prstGeom prst="rect">
                      <a:avLst/>
                    </a:prstGeom>
                  </pic:spPr>
                </pic:pic>
              </a:graphicData>
            </a:graphic>
          </wp:inline>
        </w:drawing>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A．战争打断了中国以轻纺为主导的工业化进程B．战时中国重工业初具规模发展迅速</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C．国货运动扩大国内市场以减少对西方依赖</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D．机械进口对战时中国工业整体作用巨大</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19</w:t>
      </w:r>
      <w:r>
        <w:rPr>
          <w:rStyle w:val="6"/>
          <w:rFonts w:hint="eastAsia" w:asciiTheme="minorEastAsia" w:hAnsiTheme="minorEastAsia" w:eastAsiaTheme="minorEastAsia" w:cstheme="minorEastAsia"/>
          <w:b w:val="0"/>
          <w:bCs/>
          <w:color w:val="auto"/>
          <w:sz w:val="18"/>
          <w:szCs w:val="18"/>
        </w:rPr>
        <w:t>．（题文）在1914—1921年，中国面粉进口在最少时仅有0．5万担，国产面粉已能基本实现自给。火柴也由1914年的2384万箩减为1918年的1334万箩，减幅达44％。此外，搪瓷制品、精盐、酸碱、卷烟、橡胶制品等也在一定程度上实现了自制。这反映了近代民族工业</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A．出现轻重工业比例失衡的畸形局面</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B．已经实现完全独立的自主发展</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C．基本摆脱了对外国资本主义的依赖</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D．从对外引进到进口替代的转变</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20</w:t>
      </w:r>
      <w:r>
        <w:rPr>
          <w:rStyle w:val="6"/>
          <w:rFonts w:hint="eastAsia" w:asciiTheme="minorEastAsia" w:hAnsiTheme="minorEastAsia" w:eastAsiaTheme="minorEastAsia" w:cstheme="minorEastAsia"/>
          <w:b w:val="0"/>
          <w:bCs/>
          <w:color w:val="auto"/>
          <w:sz w:val="18"/>
          <w:szCs w:val="18"/>
        </w:rPr>
        <w:t>．据一位日本学者统计，从1912年到1936年，中国进口轻工业产品下降幅度约有四分之三，1926年轻工业产品的出口则增加了一倍多。重工业产品主要是机器的进口，1912年占进口总额的13．7%，1936年则增至47％。这反映了</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A．一战后轻重工业协调发展</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B．中国对外贸易处于顺差</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C．中国工业化水平不断提高</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D．工业经济逐步占据主导</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21</w:t>
      </w:r>
      <w:r>
        <w:rPr>
          <w:rStyle w:val="6"/>
          <w:rFonts w:hint="eastAsia" w:asciiTheme="minorEastAsia" w:hAnsiTheme="minorEastAsia" w:eastAsiaTheme="minorEastAsia" w:cstheme="minorEastAsia"/>
          <w:b w:val="0"/>
          <w:bCs/>
          <w:color w:val="auto"/>
          <w:sz w:val="18"/>
          <w:szCs w:val="18"/>
        </w:rPr>
        <w:t>．（本月所学）观察表，由此得出的结论正确的是</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南京国民政府1937～1949年货币发行量（单位：亿法币）</w:t>
      </w:r>
    </w:p>
    <w:tbl>
      <w:tblPr>
        <w:tblStyle w:val="5"/>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963"/>
        <w:gridCol w:w="684"/>
        <w:gridCol w:w="1056"/>
        <w:gridCol w:w="3476"/>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时间</w:t>
            </w:r>
          </w:p>
        </w:tc>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发行额度</w:t>
            </w:r>
          </w:p>
        </w:tc>
        <w:tc>
          <w:tcPr>
            <w:tcW w:w="68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增长</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倍数</w:t>
            </w:r>
          </w:p>
        </w:tc>
        <w:tc>
          <w:tcPr>
            <w:tcW w:w="105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时间</w:t>
            </w:r>
          </w:p>
        </w:tc>
        <w:tc>
          <w:tcPr>
            <w:tcW w:w="347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发行额度</w:t>
            </w:r>
          </w:p>
        </w:tc>
        <w:tc>
          <w:tcPr>
            <w:tcW w:w="11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增长倍数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1937、6</w:t>
            </w:r>
          </w:p>
        </w:tc>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14.1</w:t>
            </w:r>
          </w:p>
        </w:tc>
        <w:tc>
          <w:tcPr>
            <w:tcW w:w="68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p>
        </w:tc>
        <w:tc>
          <w:tcPr>
            <w:tcW w:w="105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1945年8月</w:t>
            </w:r>
          </w:p>
        </w:tc>
        <w:tc>
          <w:tcPr>
            <w:tcW w:w="347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5569</w:t>
            </w:r>
          </w:p>
        </w:tc>
        <w:tc>
          <w:tcPr>
            <w:tcW w:w="11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394.5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1939、12</w:t>
            </w:r>
          </w:p>
        </w:tc>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42.9</w:t>
            </w:r>
          </w:p>
        </w:tc>
        <w:tc>
          <w:tcPr>
            <w:tcW w:w="68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3.04</w:t>
            </w:r>
          </w:p>
        </w:tc>
        <w:tc>
          <w:tcPr>
            <w:tcW w:w="105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1947年2月</w:t>
            </w:r>
          </w:p>
        </w:tc>
        <w:tc>
          <w:tcPr>
            <w:tcW w:w="347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48378</w:t>
            </w:r>
          </w:p>
        </w:tc>
        <w:tc>
          <w:tcPr>
            <w:tcW w:w="11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3430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1941、12</w:t>
            </w:r>
          </w:p>
        </w:tc>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151</w:t>
            </w:r>
          </w:p>
        </w:tc>
        <w:tc>
          <w:tcPr>
            <w:tcW w:w="68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10.71</w:t>
            </w:r>
          </w:p>
        </w:tc>
        <w:tc>
          <w:tcPr>
            <w:tcW w:w="105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1949年1月</w:t>
            </w:r>
          </w:p>
        </w:tc>
        <w:tc>
          <w:tcPr>
            <w:tcW w:w="347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208亿金圆券，折合法币6.25×108</w:t>
            </w:r>
          </w:p>
        </w:tc>
        <w:tc>
          <w:tcPr>
            <w:tcW w:w="11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4.43×107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1" w:hRule="atLeast"/>
        </w:trPr>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1943、12</w:t>
            </w:r>
          </w:p>
        </w:tc>
        <w:tc>
          <w:tcPr>
            <w:tcW w:w="96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754</w:t>
            </w:r>
          </w:p>
        </w:tc>
        <w:tc>
          <w:tcPr>
            <w:tcW w:w="684"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53.46</w:t>
            </w:r>
          </w:p>
        </w:tc>
        <w:tc>
          <w:tcPr>
            <w:tcW w:w="105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1949年5月</w:t>
            </w:r>
          </w:p>
        </w:tc>
        <w:tc>
          <w:tcPr>
            <w:tcW w:w="3476"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6.79×105金圆券，折合法币2.03×1012</w:t>
            </w:r>
          </w:p>
        </w:tc>
        <w:tc>
          <w:tcPr>
            <w:tcW w:w="1148"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1.44×1011</w:t>
            </w:r>
          </w:p>
        </w:tc>
      </w:tr>
    </w:tbl>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A．实行货币贬值政策后出口大增</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B．国民经济建设运动刺激了货币发行</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C．导致经济发展环境日趋恶化</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D．这是南京国民政府垮台的主要原因</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22</w:t>
      </w:r>
      <w:r>
        <w:rPr>
          <w:rStyle w:val="6"/>
          <w:rFonts w:hint="eastAsia" w:asciiTheme="minorEastAsia" w:hAnsiTheme="minorEastAsia" w:eastAsiaTheme="minorEastAsia" w:cstheme="minorEastAsia"/>
          <w:b w:val="0"/>
          <w:bCs/>
          <w:color w:val="auto"/>
          <w:sz w:val="18"/>
          <w:szCs w:val="18"/>
        </w:rPr>
        <w:t>．据统计，全国职业教育学校在民国十年有719所，民国十一年有822所，民国十二年有1194所，民国十三年有1548所，民国十四年有1666所，民国十五年有1695所。职业教育不断发展说明了</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A．提高了全体国民文化素养</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B．顺应了民族工业发展的需求</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C．体现了政府引领教育革新</w:t>
      </w:r>
      <w:r>
        <w:rPr>
          <w:rStyle w:val="6"/>
          <w:rFonts w:hint="eastAsia" w:asciiTheme="minorEastAsia" w:hAnsiTheme="minorEastAsia" w:eastAsiaTheme="minorEastAsia" w:cstheme="minorEastAsia"/>
          <w:b w:val="0"/>
          <w:bCs/>
          <w:color w:val="auto"/>
          <w:sz w:val="18"/>
          <w:szCs w:val="18"/>
          <w:lang w:val="en-US" w:eastAsia="zh-CN"/>
        </w:rPr>
        <w:t xml:space="preserve">                </w:t>
      </w:r>
      <w:r>
        <w:rPr>
          <w:rStyle w:val="6"/>
          <w:rFonts w:hint="eastAsia" w:asciiTheme="minorEastAsia" w:hAnsiTheme="minorEastAsia" w:eastAsiaTheme="minorEastAsia" w:cstheme="minorEastAsia"/>
          <w:b w:val="0"/>
          <w:bCs/>
          <w:color w:val="auto"/>
          <w:sz w:val="18"/>
          <w:szCs w:val="18"/>
        </w:rPr>
        <w:t>D．形成了完整的国民教育体系</w:t>
      </w:r>
    </w:p>
    <w:p>
      <w:pPr>
        <w:spacing w:line="360" w:lineRule="auto"/>
        <w:jc w:val="left"/>
        <w:textAlignment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lang w:val="en-US" w:eastAsia="zh-CN"/>
        </w:rPr>
        <w:t>23</w:t>
      </w:r>
      <w:r>
        <w:rPr>
          <w:rFonts w:hint="eastAsia" w:asciiTheme="minorEastAsia" w:hAnsiTheme="minorEastAsia" w:eastAsiaTheme="minorEastAsia" w:cstheme="minorEastAsia"/>
          <w:b w:val="0"/>
          <w:bCs/>
          <w:color w:val="auto"/>
          <w:sz w:val="18"/>
          <w:szCs w:val="18"/>
        </w:rPr>
        <w:t>．经济学家马寅初1935年在《中国经济改造》一书中认为：面对西方国家的倾销政策，中国保护幼稚工业，除保护税外，用统制的办法，发展国内工业与之相抗，亦为今日国际经济竞争之武器。但到1940年，马寅初就对统制经济提出批评：“吾人以千数百万同胞之死伤，数百万财产之损失，希冀获得胜利以求民族之快快复兴，决不愿以如是巨大之牺牲来交换几个大财神，将吾人经济命脉操在手中。”马寅初对统制经济态度变化的主要原因</w:t>
      </w:r>
    </w:p>
    <w:p>
      <w:pPr>
        <w:spacing w:line="360" w:lineRule="auto"/>
        <w:jc w:val="left"/>
        <w:textAlignment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A.国民政府实行恶性通货膨胀政策</w:t>
      </w:r>
      <w:r>
        <w:rPr>
          <w:rFonts w:hint="eastAsia" w:asciiTheme="minorEastAsia" w:hAnsiTheme="minorEastAsia" w:eastAsia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B.民族工业进入高速发展时期</w:t>
      </w:r>
    </w:p>
    <w:p>
      <w:pPr>
        <w:spacing w:line="360" w:lineRule="auto"/>
        <w:jc w:val="left"/>
        <w:textAlignment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C.官僚资本迅速膨胀</w:t>
      </w:r>
      <w:r>
        <w:rPr>
          <w:rFonts w:hint="eastAsia" w:asciiTheme="minorEastAsia" w:hAnsiTheme="minorEastAsia" w:eastAsiaTheme="minorEastAsia" w:cstheme="minorEastAsia"/>
          <w:b w:val="0"/>
          <w:bCs/>
          <w:color w:val="auto"/>
          <w:sz w:val="18"/>
          <w:szCs w:val="18"/>
          <w:lang w:val="en-US" w:eastAsia="zh-CN"/>
        </w:rPr>
        <w:t xml:space="preserve">                      </w:t>
      </w:r>
      <w:r>
        <w:rPr>
          <w:rFonts w:hint="eastAsia" w:asciiTheme="minorEastAsia" w:hAnsiTheme="minorEastAsia" w:eastAsiaTheme="minorEastAsia" w:cstheme="minorEastAsia"/>
          <w:b w:val="0"/>
          <w:bCs/>
          <w:color w:val="auto"/>
          <w:sz w:val="18"/>
          <w:szCs w:val="18"/>
        </w:rPr>
        <w:t>D.国家干预经济政策盛行</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24</w:t>
      </w:r>
      <w:r>
        <w:rPr>
          <w:rStyle w:val="6"/>
          <w:rFonts w:hint="eastAsia" w:asciiTheme="minorEastAsia" w:hAnsiTheme="minorEastAsia" w:eastAsiaTheme="minorEastAsia" w:cstheme="minorEastAsia"/>
          <w:b w:val="0"/>
          <w:bCs/>
          <w:color w:val="auto"/>
          <w:sz w:val="18"/>
          <w:szCs w:val="18"/>
        </w:rPr>
        <w:t>．下表为《1913-1948年中国产业资本属性结构状况表（部分）》（单位：万元）</w:t>
      </w:r>
    </w:p>
    <w:tbl>
      <w:tblPr>
        <w:tblStyle w:val="5"/>
        <w:tblpPr w:leftFromText="180" w:rightFromText="180" w:vertAnchor="text" w:horzAnchor="page" w:tblpX="1149" w:tblpY="66"/>
        <w:tblOverlap w:val="never"/>
        <w:tblW w:w="8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227"/>
        <w:gridCol w:w="825"/>
        <w:gridCol w:w="825"/>
        <w:gridCol w:w="933"/>
        <w:gridCol w:w="717"/>
        <w:gridCol w:w="1413"/>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8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p>
        </w:tc>
        <w:tc>
          <w:tcPr>
            <w:tcW w:w="122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1911/1914</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1920</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增长％</w:t>
            </w:r>
          </w:p>
        </w:tc>
        <w:tc>
          <w:tcPr>
            <w:tcW w:w="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1936</w:t>
            </w:r>
          </w:p>
        </w:tc>
        <w:tc>
          <w:tcPr>
            <w:tcW w:w="71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增长％</w:t>
            </w:r>
          </w:p>
        </w:tc>
        <w:tc>
          <w:tcPr>
            <w:tcW w:w="141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1947/1948</w:t>
            </w:r>
          </w:p>
        </w:tc>
        <w:tc>
          <w:tcPr>
            <w:tcW w:w="1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8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外国资本</w:t>
            </w:r>
          </w:p>
        </w:tc>
        <w:tc>
          <w:tcPr>
            <w:tcW w:w="122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102125</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133000</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4.50</w:t>
            </w:r>
          </w:p>
        </w:tc>
        <w:tc>
          <w:tcPr>
            <w:tcW w:w="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571758</w:t>
            </w:r>
          </w:p>
        </w:tc>
        <w:tc>
          <w:tcPr>
            <w:tcW w:w="71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9.54</w:t>
            </w:r>
          </w:p>
        </w:tc>
        <w:tc>
          <w:tcPr>
            <w:tcW w:w="141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73414</w:t>
            </w:r>
          </w:p>
        </w:tc>
        <w:tc>
          <w:tcPr>
            <w:tcW w:w="1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—16.35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8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国家资本</w:t>
            </w:r>
          </w:p>
        </w:tc>
        <w:tc>
          <w:tcPr>
            <w:tcW w:w="122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47807</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66952</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3.81</w:t>
            </w:r>
          </w:p>
        </w:tc>
        <w:tc>
          <w:tcPr>
            <w:tcW w:w="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222454</w:t>
            </w:r>
          </w:p>
        </w:tc>
        <w:tc>
          <w:tcPr>
            <w:tcW w:w="71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7.79</w:t>
            </w:r>
          </w:p>
        </w:tc>
        <w:tc>
          <w:tcPr>
            <w:tcW w:w="141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420079</w:t>
            </w:r>
          </w:p>
        </w:tc>
        <w:tc>
          <w:tcPr>
            <w:tcW w:w="1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私人资本</w:t>
            </w:r>
          </w:p>
        </w:tc>
        <w:tc>
          <w:tcPr>
            <w:tcW w:w="122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28741</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57977</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10.54</w:t>
            </w:r>
          </w:p>
        </w:tc>
        <w:tc>
          <w:tcPr>
            <w:tcW w:w="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204844</w:t>
            </w:r>
          </w:p>
        </w:tc>
        <w:tc>
          <w:tcPr>
            <w:tcW w:w="71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8.21</w:t>
            </w:r>
          </w:p>
        </w:tc>
        <w:tc>
          <w:tcPr>
            <w:tcW w:w="141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161499</w:t>
            </w:r>
          </w:p>
        </w:tc>
        <w:tc>
          <w:tcPr>
            <w:tcW w:w="1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合计</w:t>
            </w:r>
          </w:p>
        </w:tc>
        <w:tc>
          <w:tcPr>
            <w:tcW w:w="122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178673</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257929</w:t>
            </w:r>
          </w:p>
        </w:tc>
        <w:tc>
          <w:tcPr>
            <w:tcW w:w="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5.16</w:t>
            </w:r>
          </w:p>
        </w:tc>
        <w:tc>
          <w:tcPr>
            <w:tcW w:w="93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999056</w:t>
            </w:r>
          </w:p>
        </w:tc>
        <w:tc>
          <w:tcPr>
            <w:tcW w:w="717"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8.83</w:t>
            </w:r>
          </w:p>
        </w:tc>
        <w:tc>
          <w:tcPr>
            <w:tcW w:w="1413"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654992</w:t>
            </w:r>
          </w:p>
        </w:tc>
        <w:tc>
          <w:tcPr>
            <w:tcW w:w="1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—3.61</w:t>
            </w:r>
          </w:p>
        </w:tc>
      </w:tr>
    </w:tbl>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对表中数据分析正确的是</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A．外国资本在中国产业资本中始终占主导地位</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B．国家资本的发展推动了民族资本主义的发展</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C．私人资本的发展状况和政府的政策密切相关</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D．不同资本的发展变化反映了社会性质的变迁</w:t>
      </w:r>
    </w:p>
    <w:p>
      <w:pPr>
        <w:jc w:val="cente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第II卷（非选择题)</w:t>
      </w:r>
    </w:p>
    <w:p>
      <w:pPr>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lang w:eastAsia="zh-CN"/>
        </w:rPr>
        <w:t>二</w:t>
      </w:r>
      <w:r>
        <w:rPr>
          <w:rFonts w:hint="eastAsia" w:asciiTheme="minorEastAsia" w:hAnsiTheme="minorEastAsia" w:eastAsiaTheme="minorEastAsia" w:cstheme="minorEastAsia"/>
          <w:b w:val="0"/>
          <w:bCs/>
          <w:color w:val="auto"/>
          <w:sz w:val="18"/>
          <w:szCs w:val="18"/>
        </w:rPr>
        <w:t>、材料分析题</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2</w:t>
      </w:r>
      <w:r>
        <w:rPr>
          <w:rStyle w:val="6"/>
          <w:rFonts w:hint="eastAsia" w:asciiTheme="minorEastAsia" w:hAnsiTheme="minorEastAsia" w:eastAsiaTheme="minorEastAsia" w:cstheme="minorEastAsia"/>
          <w:b w:val="0"/>
          <w:bCs/>
          <w:color w:val="auto"/>
          <w:sz w:val="18"/>
          <w:szCs w:val="18"/>
          <w:lang w:val="en-US" w:eastAsia="zh-CN"/>
        </w:rPr>
        <w:t>5</w:t>
      </w:r>
      <w:r>
        <w:rPr>
          <w:rStyle w:val="6"/>
          <w:rFonts w:hint="eastAsia" w:asciiTheme="minorEastAsia" w:hAnsiTheme="minorEastAsia" w:eastAsiaTheme="minorEastAsia" w:cstheme="minorEastAsia"/>
          <w:b w:val="0"/>
          <w:bCs/>
          <w:color w:val="auto"/>
          <w:sz w:val="18"/>
          <w:szCs w:val="18"/>
        </w:rPr>
        <w:t>．阅读材料，完成下列要求。</w:t>
      </w:r>
    </w:p>
    <w:p>
      <w:pPr>
        <w:spacing w:line="360" w:lineRule="auto"/>
        <w:ind w:firstLine="450"/>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材料一：重商主义是英国最早的国家干预思想和政策体系。都铎王朝（1485年-1603年）统治时期，经济立法多达250个左右，广泛涉及工农业、工资物价、商业金融、关税和进出口等……金融政策是禁止金银出口，鼓励进口。贸易政策是鼓励出口，限制进口，实行保护关税；还颁布航海条例，规定商品由本国船舶运输，严禁走私和管制价格等。政府逐渐取消地方关税，统一国内市场，维护经济秩序，规范交易行为，包括生产质量标准和规定工资水平，保障廉价劳力供应。政府批准许多特许贸易公司，商人则利用王权进行垄断贸易。当时，几乎所有的工商业领域都受制于非常细致的立法控制以及各行业的自我管制。</w:t>
      </w:r>
    </w:p>
    <w:p>
      <w:pPr>
        <w:spacing w:line="360" w:lineRule="auto"/>
        <w:jc w:val="righ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——摘编自吴必康《变革与稳定：英国经济政策的四次重大变革》</w:t>
      </w:r>
    </w:p>
    <w:p>
      <w:pPr>
        <w:spacing w:line="360" w:lineRule="auto"/>
        <w:ind w:firstLine="450"/>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材料二：晚清重商思想是晚清重要的思潮之一，郑观应指出：“古有四民，商居其末……不知商贾虽为四民之殿，实握四民之纲……商足以富国，岂可视为末位。”马建忠认为“通商而出口货溢于进口货者利，通商而出口货等于进口货亦利，通商而进口货溢于出口货者不利。中国多出一分之货，则外洋少获一分之利……。”陈炽说：“国之所立者政，政之所举者用，用之所需者财，财之所入者税，税之所出者商。今天下商税六千万金，不能保商，何以立国。”较之维新派的理论，洋务派更具实践性，他们自己设厂，自行制造，“以敌洋产”，乃使“彼所售出于我者复有机器制造以绝其销路”。李鸿章“拟遴派绅商在上海购买机器，设局仿造布匹，翼稍分洋商之利“。张之洞于1890年开办湖北织布局，“开织以来，销售甚畅，获利颇丰。”</w:t>
      </w:r>
    </w:p>
    <w:p>
      <w:pPr>
        <w:spacing w:line="360" w:lineRule="auto"/>
        <w:jc w:val="righ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——摘编自陈爱平《试论晚晴重商思想》》</w:t>
      </w:r>
    </w:p>
    <w:p>
      <w:pPr>
        <w:spacing w:line="360" w:lineRule="auto"/>
        <w:ind w:firstLine="450"/>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材料三：在时代的巨变面前，晚清国人开始以近代理性思维改造中国社会，体现出时代诉求。然而，近代中国没有一个健康、稳定的政局和一个勇于变革的政府，又始终受到社会的“结构性制约”，重商主义思潮引起的社会效应显得相当有限。虽然社会各界对重商主义思想寄予愿望，试图通过发展经济促进社会转型，但效果并不显著，未能跨出划时代的步伐。</w:t>
      </w:r>
    </w:p>
    <w:p>
      <w:pPr>
        <w:spacing w:line="360" w:lineRule="auto"/>
        <w:jc w:val="righ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——摘编自王敏《晚清重商主义思潮及其社会效应》</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lang w:val="en-US" w:eastAsia="zh-CN"/>
        </w:rPr>
      </w:pPr>
      <w:r>
        <w:rPr>
          <w:rStyle w:val="6"/>
          <w:rFonts w:hint="eastAsia" w:asciiTheme="minorEastAsia" w:hAnsiTheme="minorEastAsia" w:eastAsiaTheme="minorEastAsia" w:cstheme="minorEastAsia"/>
          <w:b w:val="0"/>
          <w:bCs/>
          <w:color w:val="auto"/>
          <w:sz w:val="18"/>
          <w:szCs w:val="18"/>
        </w:rPr>
        <w:t>（1）根据材料一并结合所学知识，分析英国早期重商主义的作用。</w:t>
      </w:r>
      <w:r>
        <w:rPr>
          <w:rStyle w:val="6"/>
          <w:rFonts w:hint="eastAsia" w:asciiTheme="minorEastAsia" w:hAnsiTheme="minorEastAsia" w:eastAsiaTheme="minorEastAsia" w:cstheme="minorEastAsia"/>
          <w:b w:val="0"/>
          <w:bCs/>
          <w:color w:val="auto"/>
          <w:sz w:val="18"/>
          <w:szCs w:val="18"/>
          <w:lang w:val="en-US"/>
        </w:rPr>
        <w:t>(8</w:t>
      </w:r>
      <w:r>
        <w:rPr>
          <w:rStyle w:val="6"/>
          <w:rFonts w:hint="eastAsia" w:asciiTheme="minorEastAsia" w:hAnsiTheme="minorEastAsia" w:eastAsiaTheme="minorEastAsia" w:cstheme="minorEastAsia"/>
          <w:b w:val="0"/>
          <w:bCs/>
          <w:color w:val="auto"/>
          <w:sz w:val="18"/>
          <w:szCs w:val="18"/>
          <w:lang w:val="en-US" w:eastAsia="zh-CN"/>
        </w:rPr>
        <w:t>分）</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lang w:eastAsia="zh-CN"/>
        </w:rPr>
      </w:pPr>
      <w:r>
        <w:rPr>
          <w:rStyle w:val="6"/>
          <w:rFonts w:hint="eastAsia" w:asciiTheme="minorEastAsia" w:hAnsiTheme="minorEastAsia" w:eastAsiaTheme="minorEastAsia" w:cstheme="minorEastAsia"/>
          <w:b w:val="0"/>
          <w:bCs/>
          <w:color w:val="auto"/>
          <w:sz w:val="18"/>
          <w:szCs w:val="18"/>
        </w:rPr>
        <w:t>（2）根据材料一、二并结合所学知识，概括晚清重商主义与英国重商主义主张上的相同之处，并指出晚清重商主义产生的背景。</w:t>
      </w:r>
      <w:r>
        <w:rPr>
          <w:rStyle w:val="6"/>
          <w:rFonts w:hint="eastAsia" w:asciiTheme="minorEastAsia" w:hAnsiTheme="minorEastAsia" w:eastAsiaTheme="minorEastAsia" w:cstheme="minorEastAsia"/>
          <w:b w:val="0"/>
          <w:bCs/>
          <w:color w:val="auto"/>
          <w:sz w:val="18"/>
          <w:szCs w:val="18"/>
          <w:lang w:eastAsia="zh-CN"/>
        </w:rPr>
        <w:t>（</w:t>
      </w:r>
      <w:r>
        <w:rPr>
          <w:rStyle w:val="6"/>
          <w:rFonts w:hint="eastAsia" w:asciiTheme="minorEastAsia" w:hAnsiTheme="minorEastAsia" w:eastAsiaTheme="minorEastAsia" w:cstheme="minorEastAsia"/>
          <w:b w:val="0"/>
          <w:bCs/>
          <w:color w:val="auto"/>
          <w:sz w:val="18"/>
          <w:szCs w:val="18"/>
          <w:lang w:val="en-US" w:eastAsia="zh-CN"/>
        </w:rPr>
        <w:t>10分</w:t>
      </w:r>
      <w:r>
        <w:rPr>
          <w:rStyle w:val="6"/>
          <w:rFonts w:hint="eastAsia" w:asciiTheme="minorEastAsia" w:hAnsiTheme="minorEastAsia" w:eastAsiaTheme="minorEastAsia" w:cstheme="minorEastAsia"/>
          <w:b w:val="0"/>
          <w:bCs/>
          <w:color w:val="auto"/>
          <w:sz w:val="18"/>
          <w:szCs w:val="18"/>
          <w:lang w:eastAsia="zh-CN"/>
        </w:rPr>
        <w:t>）</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lang w:eastAsia="zh-CN"/>
        </w:rPr>
      </w:pPr>
      <w:r>
        <w:rPr>
          <w:rStyle w:val="6"/>
          <w:rFonts w:hint="eastAsia" w:asciiTheme="minorEastAsia" w:hAnsiTheme="minorEastAsia" w:eastAsiaTheme="minorEastAsia" w:cstheme="minorEastAsia"/>
          <w:b w:val="0"/>
          <w:bCs/>
          <w:color w:val="auto"/>
          <w:sz w:val="18"/>
          <w:szCs w:val="18"/>
        </w:rPr>
        <w:t>（3）根据材料并结合所学知识，指出晚清重商思想“效果并不显著，未能跨出划时代步伐”的原因。</w:t>
      </w:r>
      <w:r>
        <w:rPr>
          <w:rStyle w:val="6"/>
          <w:rFonts w:hint="eastAsia" w:asciiTheme="minorEastAsia" w:hAnsiTheme="minorEastAsia" w:eastAsiaTheme="minorEastAsia" w:cstheme="minorEastAsia"/>
          <w:b w:val="0"/>
          <w:bCs/>
          <w:color w:val="auto"/>
          <w:sz w:val="18"/>
          <w:szCs w:val="18"/>
          <w:lang w:eastAsia="zh-CN"/>
        </w:rPr>
        <w:t>（</w:t>
      </w:r>
      <w:r>
        <w:rPr>
          <w:rStyle w:val="6"/>
          <w:rFonts w:hint="eastAsia" w:asciiTheme="minorEastAsia" w:hAnsiTheme="minorEastAsia" w:eastAsiaTheme="minorEastAsia" w:cstheme="minorEastAsia"/>
          <w:b w:val="0"/>
          <w:bCs/>
          <w:color w:val="auto"/>
          <w:sz w:val="18"/>
          <w:szCs w:val="18"/>
          <w:lang w:val="en-US" w:eastAsia="zh-CN"/>
        </w:rPr>
        <w:t>7分</w:t>
      </w:r>
      <w:r>
        <w:rPr>
          <w:rStyle w:val="6"/>
          <w:rFonts w:hint="eastAsia" w:asciiTheme="minorEastAsia" w:hAnsiTheme="minorEastAsia" w:eastAsiaTheme="minorEastAsia" w:cstheme="minorEastAsia"/>
          <w:b w:val="0"/>
          <w:bCs/>
          <w:color w:val="auto"/>
          <w:sz w:val="18"/>
          <w:szCs w:val="18"/>
          <w:lang w:eastAsia="zh-CN"/>
        </w:rPr>
        <w:t>）</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lang w:val="en-US" w:eastAsia="zh-CN"/>
        </w:rPr>
      </w:pP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26</w:t>
      </w:r>
      <w:r>
        <w:rPr>
          <w:rStyle w:val="6"/>
          <w:rFonts w:hint="eastAsia" w:asciiTheme="minorEastAsia" w:hAnsiTheme="minorEastAsia" w:eastAsiaTheme="minorEastAsia" w:cstheme="minorEastAsia"/>
          <w:b w:val="0"/>
          <w:bCs/>
          <w:color w:val="auto"/>
          <w:sz w:val="18"/>
          <w:szCs w:val="18"/>
        </w:rPr>
        <w:t>．阅读材料，完成下列要求。</w:t>
      </w:r>
    </w:p>
    <w:p>
      <w:pPr>
        <w:spacing w:line="360" w:lineRule="auto"/>
        <w:ind w:firstLine="450"/>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材料  作家茅盾创作的小说《子夜》于1932年完稿，其中许多情节反映了中国近代的重大历史现象。小说梗概如下：</w:t>
      </w:r>
    </w:p>
    <w:p>
      <w:pPr>
        <w:spacing w:line="360" w:lineRule="auto"/>
        <w:ind w:firstLine="450"/>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吴荪甫，出身“书香世家”，曾游学欧美，颇为精明强干，雄心勃勃，学成归国后“以发展民族工业为已任”。为实现抱负，他辗转来到上海，经多年打拼，终于建立了“裕华丝厂”等企业。</w:t>
      </w:r>
    </w:p>
    <w:p>
      <w:pPr>
        <w:spacing w:line="360" w:lineRule="auto"/>
        <w:ind w:firstLine="450"/>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1930年，吴荪甫的父亲一吴老太爷因躲避农民抗租运动前往上海避难，结果，吴父无法承受上海的灯红酒绿，惊惧而死。在吴老太爷的葬礼上，具有美国背景的买办资本家赵伯韬说服吴荪甫合作，共同进行股票投机，并试图通过金融影响当时的国民党军阀间的战局。他一方面希望实现资产阶级“民主政治”的理想，盼望国民党反蒋派和地方军阀的联盟“北方扩大会议”的军事行动赶快成功；可另一方面当北方的军事进展不利于他的公债活动时，他又“惟恐北方的军事势力发展得太快了”。</w:t>
      </w:r>
    </w:p>
    <w:p>
      <w:pPr>
        <w:spacing w:line="360" w:lineRule="auto"/>
        <w:ind w:firstLine="450"/>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在股票投机获利后，吴荪甫还与人组建银行，不断兼并一些工矿企业，并利用收买工人运动的“叛徒”、勾结军警镇压等手段，使工人运动一度平息。可是，随着洋货大量倾销，吴荪甫的企业在经营上遇到困难。买办赵伯韬却趁吴资金吃紧之际试图吞并其企业。为克服危机，他试图克扣工人工资，结果新一轮工人运动兴起，吴荪甫陷入内外交迫的绝境。经过几番思考，吴最后决定逃离上海，告知家人要“去庐山”。</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rPr>
        <w:t>结合所学近代史知识，从上述梗慨中提取一个情节，指出它所反映的近代中国重大历史现象，并概述和评价该历史现象。（要求：简要写出所提取的小说情节及历史现象，对历史现象的概述和评价要求准确全面。）</w:t>
      </w: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rPr>
      </w:pP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lang w:val="en-US" w:eastAsia="zh-CN"/>
        </w:rPr>
      </w:pP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lang w:val="en-US" w:eastAsia="zh-CN"/>
        </w:rPr>
      </w:pP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lang w:val="en-US" w:eastAsia="zh-CN"/>
        </w:rPr>
      </w:pP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lang w:val="en-US" w:eastAsia="zh-CN"/>
        </w:rPr>
      </w:pP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lang w:val="en-US" w:eastAsia="zh-CN"/>
        </w:rPr>
      </w:pP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lang w:val="en-US" w:eastAsia="zh-CN"/>
        </w:rPr>
      </w:pPr>
    </w:p>
    <w:p>
      <w:pPr>
        <w:spacing w:line="360" w:lineRule="auto"/>
        <w:jc w:val="left"/>
        <w:textAlignment w:val="center"/>
        <w:rPr>
          <w:rStyle w:val="6"/>
          <w:rFonts w:hint="eastAsia" w:asciiTheme="minorEastAsia" w:hAnsiTheme="minorEastAsia" w:eastAsiaTheme="minorEastAsia" w:cstheme="minorEastAsia"/>
          <w:b w:val="0"/>
          <w:bCs/>
          <w:color w:val="auto"/>
          <w:sz w:val="18"/>
          <w:szCs w:val="18"/>
          <w:lang w:val="en-US" w:eastAsia="zh-CN"/>
        </w:rPr>
      </w:pPr>
    </w:p>
    <w:p>
      <w:pPr>
        <w:spacing w:line="360" w:lineRule="auto"/>
        <w:jc w:val="left"/>
        <w:textAlignment w:val="center"/>
        <w:rPr>
          <w:rFonts w:hint="eastAsia" w:asciiTheme="minorEastAsia" w:hAnsiTheme="minorEastAsia" w:eastAsiaTheme="minorEastAsia" w:cstheme="minorEastAsia"/>
          <w:b w:val="0"/>
          <w:bCs/>
          <w:color w:val="auto"/>
          <w:sz w:val="18"/>
          <w:szCs w:val="18"/>
        </w:rPr>
      </w:pPr>
      <w:r>
        <w:rPr>
          <w:rStyle w:val="6"/>
          <w:rFonts w:hint="eastAsia" w:asciiTheme="minorEastAsia" w:hAnsiTheme="minorEastAsia" w:eastAsiaTheme="minorEastAsia" w:cstheme="minorEastAsia"/>
          <w:b w:val="0"/>
          <w:bCs/>
          <w:color w:val="auto"/>
          <w:sz w:val="18"/>
          <w:szCs w:val="18"/>
          <w:lang w:val="en-US" w:eastAsia="zh-CN"/>
        </w:rPr>
        <w:t>27</w:t>
      </w:r>
      <w:r>
        <w:rPr>
          <w:rFonts w:hint="eastAsia" w:asciiTheme="minorEastAsia" w:hAnsiTheme="minorEastAsia" w:eastAsiaTheme="minorEastAsia" w:cstheme="minorEastAsia"/>
          <w:b w:val="0"/>
          <w:bCs/>
          <w:color w:val="auto"/>
          <w:sz w:val="18"/>
          <w:szCs w:val="18"/>
        </w:rPr>
        <w:t>、</w:t>
      </w:r>
      <w:r>
        <w:rPr>
          <w:rStyle w:val="6"/>
          <w:rFonts w:hint="eastAsia" w:asciiTheme="minorEastAsia" w:hAnsiTheme="minorEastAsia" w:eastAsiaTheme="minorEastAsia" w:cstheme="minorEastAsia"/>
          <w:b w:val="0"/>
          <w:bCs/>
          <w:color w:val="auto"/>
          <w:sz w:val="18"/>
          <w:szCs w:val="18"/>
          <w:lang w:eastAsia="zh-CN"/>
        </w:rPr>
        <w:t>选修</w:t>
      </w:r>
    </w:p>
    <w:p>
      <w:pPr>
        <w:spacing w:line="360" w:lineRule="auto"/>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材料   郭嵩焘（1818～1891），湖南湘阴人。他在传统训练中深受湖南籍的清初异端思想家王夫之的影响。1847年中进士后，曾于翰林院任职。他在曾国藩手下参与过平定太平天国的战争，从而获得了更多的实际经验。郭嵩焘担任过多种官职，包括署理广东巡抚。然而，他于1877年成为中国第一位驻西方国家的公使。作为一位外交官，郭嵩焘在工作中密切联系并极度依赖李鸿章。1862年他曾经在李鸿章的幕府中短暂任职。虽然两个人在外交事务中的观点接近，但郭嵩焘的改革主张比李鸿章激进得多。郭嵩焘的欧洲之行激起了轩然大波，使得他回国时（1878年末）没有照例去北京，而是直接回到了湖南。他被提前罢职后，继续在湖南以通信方式向李鸿章提建议。</w:t>
      </w:r>
    </w:p>
    <w:p>
      <w:pPr>
        <w:spacing w:line="360" w:lineRule="auto"/>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——（美）柯文《在传统与现代性之间》</w:t>
      </w:r>
    </w:p>
    <w:p>
      <w:pPr>
        <w:spacing w:line="360" w:lineRule="auto"/>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（1）结合所学知识分析郭嵩焘成为第一位驻西方国家公使的时代背景。（6分）</w:t>
      </w:r>
    </w:p>
    <w:p>
      <w:pPr>
        <w:spacing w:line="360" w:lineRule="auto"/>
        <w:rPr>
          <w:rFonts w:hint="eastAsia" w:asciiTheme="minorEastAsia" w:hAnsiTheme="minorEastAsia" w:eastAsiaTheme="minorEastAsia" w:cstheme="minorEastAsia"/>
          <w:b w:val="0"/>
          <w:bCs/>
          <w:color w:val="auto"/>
          <w:sz w:val="18"/>
          <w:szCs w:val="18"/>
        </w:rPr>
      </w:pPr>
      <w:r>
        <w:rPr>
          <w:rFonts w:hint="eastAsia" w:asciiTheme="minorEastAsia" w:hAnsiTheme="minorEastAsia" w:eastAsiaTheme="minorEastAsia" w:cstheme="minorEastAsia"/>
          <w:b w:val="0"/>
          <w:bCs/>
          <w:color w:val="auto"/>
          <w:sz w:val="18"/>
          <w:szCs w:val="18"/>
        </w:rPr>
        <w:t>（2）依据材料并结合所学知识分析郭嵩焘回国后受冷遇的原因。（9分）</w:t>
      </w:r>
    </w:p>
    <w:p>
      <w:pPr>
        <w:rPr>
          <w:rFonts w:hint="eastAsia" w:asciiTheme="minorEastAsia" w:hAnsiTheme="minorEastAsia" w:eastAsiaTheme="minorEastAsia" w:cstheme="minorEastAsia"/>
          <w:b w:val="0"/>
          <w:bCs/>
          <w:color w:val="auto"/>
          <w:sz w:val="18"/>
          <w:szCs w:val="18"/>
        </w:rPr>
      </w:pPr>
    </w:p>
    <w:sectPr>
      <w:headerReference r:id="rId3" w:type="default"/>
      <w:footerReference r:id="rId5" w:type="default"/>
      <w:headerReference r:id="rId4" w:type="even"/>
      <w:footerReference r:id="rId6" w:type="even"/>
      <w:pgSz w:w="10376" w:h="14685"/>
      <w:pgMar w:top="1440" w:right="1080" w:bottom="1440" w:left="1080"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pPr>
      <w:pStyle w:val="4"/>
      <w:pBdr>
        <w:bottom w:val="none" w:color="auto" w:sz="0" w:space="0"/>
      </w:pBdr>
    </w:pPr>
  </w:p>
  <w:p>
    <w:pPr>
      <w:pStyle w:val="4"/>
      <w:pBdr>
        <w:bottom w:val="none" w:color="auto" w:sz="0" w:space="0"/>
      </w:pBdr>
    </w:pPr>
    <w:r>
      <mc:AlternateContent>
        <mc:Choice Requires="wps">
          <w:drawing>
            <wp:anchor distT="0" distB="0" distL="114300" distR="114300" simplePos="0" relativeHeight="251667456" behindDoc="0" locked="0" layoutInCell="1" allowOverlap="1">
              <wp:simplePos x="0" y="0"/>
              <wp:positionH relativeFrom="column">
                <wp:posOffset>-1016000</wp:posOffset>
              </wp:positionH>
              <wp:positionV relativeFrom="paragraph">
                <wp:posOffset>8420100</wp:posOffset>
              </wp:positionV>
              <wp:extent cx="431800" cy="635000"/>
              <wp:effectExtent l="4445" t="5080" r="20955" b="7620"/>
              <wp:wrapNone/>
              <wp:docPr id="1" name="矩形 9"/>
              <wp:cNvGraphicFramePr/>
              <a:graphic xmlns:a="http://schemas.openxmlformats.org/drawingml/2006/main">
                <a:graphicData uri="http://schemas.microsoft.com/office/word/2010/wordprocessingShape">
                  <wps:wsp>
                    <wps:cNvSpPr/>
                    <wps:spPr>
                      <a:xfrm>
                        <a:off x="0" y="0"/>
                        <a:ext cx="431800" cy="635000"/>
                      </a:xfrm>
                      <a:prstGeom prst="rect">
                        <a:avLst/>
                      </a:prstGeom>
                      <a:solidFill>
                        <a:srgbClr val="808080"/>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9" o:spid="_x0000_s1026" o:spt="1" style="position:absolute;left:0pt;margin-left:-80pt;margin-top:663pt;height:50pt;width:34pt;z-index:251667456;mso-width-relative:page;mso-height-relative:page;" fillcolor="#808080" filled="t" stroked="t" coordsize="21600,21600" o:gfxdata="UEsDBAoAAAAAAIdO4kAAAAAAAAAAAAAAAAAEAAAAZHJzL1BLAwQUAAAACACHTuJABCLuiNoAAAAO&#10;AQAADwAAAGRycy9kb3ducmV2LnhtbE1PQU7DMBC8I/EHa5G4oNROCqGEOJVAcKMHSiU4uvE2iRqv&#10;o9hN29+zPcFtdmY0O1MuT64XE46h86QhnSkQSLW3HTUaNl/vyQJEiIas6T2hhjMGWFbXV6UprD/S&#10;J07r2AgOoVAYDW2MQyFlqFt0Jsz8gMTazo/ORD7HRtrRHDnc9TJTKpfOdMQfWjPga4v1fn1wGuRq&#10;s5ifd6uXn7eHx+5jj9Od+p60vr1J1TOIiKf4Z4ZLfa4OFXfa+gPZIHoNSZorHhNZmWc5I/YkTxmD&#10;LVP3F0pWpfw/o/oFUEsDBBQAAAAIAIdO4kC8NuYz4gEAAM8DAAAOAAAAZHJzL2Uyb0RvYy54bWyt&#10;U0uOEzEQ3SNxB8t70p0MGWVa6cyCMGwQjDTDASq2u9uSf3J50slpkNhxCI6DuAZlJyQT2CCEWnKX&#10;XeVXr16Vl7c7a9hWRdTetXw6qTlTTnipXd/yT493rxacYQInwXinWr5XyG9XL18sx9ComR+8kSoy&#10;AnHYjKHlQ0qhqSoUg7KAEx+UI2fno4VE29hXMsJI6NZUs7q+rkYfZYheKEQ6XR+cfFXwu06J9LHr&#10;UCVmWk7cUlljWTd5rVZLaPoIYdDiSAP+gYUF7SjpCWoNCdhT1H9AWS2iR9+lifC28l2nhSo1UDXT&#10;+rdqHgYIqtRC4mA4yYT/D1Z82N5HpiX1jjMHllr04/PX79++sJuszRiwoZCHcB+POyQzF7rros1/&#10;KoHtip77k55ql5igw9dX00VNqgtyXV/Na7IJpTpfDhHTO+Uty0bLI7WrqAjb95gOob9Cci70Rss7&#10;bUzZxH7zxkS2BWrtos7fEf0izDg2tvxmPpsTD6AJ6wwkMm2gmtH1Jd/FDXwOTJzPtC/CMrE14HAg&#10;UFw5PzRWJ5XVgmZQIN86ydI+kK6OHgDPZKySnBlF7yVbJTKBNn8TSdoZRxLmvhw6ka2Nl3vq4lOI&#10;uh9Ix2kRIntoaorgxwnPY/l8X5DO73D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Qi7ojaAAAA&#10;DgEAAA8AAAAAAAAAAQAgAAAAIgAAAGRycy9kb3ducmV2LnhtbFBLAQIUABQAAAAIAIdO4kC8NuYz&#10;4gEAAM8DAAAOAAAAAAAAAAEAIAAAACkBAABkcnMvZTJvRG9jLnhtbFBLBQYAAAAABgAGAFkBAAB9&#10;BQAAAAA=&#10;">
              <v:fill on="t" focussize="0,0"/>
              <v:stroke color="#000000" joinstyle="miter"/>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26EDA"/>
    <w:rsid w:val="38A4218D"/>
    <w:rsid w:val="3A2F152B"/>
    <w:rsid w:val="40E85F90"/>
    <w:rsid w:val="4C6E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16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lx</cp:lastModifiedBy>
  <dcterms:modified xsi:type="dcterms:W3CDTF">2019-10-31T02:54:14Z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